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6B63F" w14:textId="093572F9" w:rsidR="007B6EEF" w:rsidRDefault="00903BA5">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18</w:t>
      </w:r>
      <w:r>
        <w:rPr>
          <w:lang w:val="en-US"/>
        </w:rPr>
        <w:t xml:space="preserve"> </w:t>
      </w:r>
      <w:r>
        <w:tab/>
      </w:r>
      <w:r w:rsidR="000461D4" w:rsidRPr="000461D4">
        <w:rPr>
          <w:sz w:val="32"/>
          <w:szCs w:val="32"/>
        </w:rPr>
        <w:t>R2-2205555</w:t>
      </w:r>
    </w:p>
    <w:p w14:paraId="2E9A56AB" w14:textId="77777777" w:rsidR="007B6EEF" w:rsidRDefault="00903BA5">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May </w:t>
      </w:r>
      <w:r>
        <w:rPr>
          <w:rFonts w:eastAsia="SimSun" w:cs="Arial" w:hint="eastAsia"/>
          <w:bCs/>
          <w:szCs w:val="24"/>
          <w:lang w:val="en-US"/>
        </w:rPr>
        <w:t>9</w:t>
      </w:r>
      <w:r>
        <w:rPr>
          <w:rFonts w:eastAsia="SimSun" w:cs="Arial"/>
          <w:bCs/>
          <w:szCs w:val="24"/>
          <w:vertAlign w:val="superscript"/>
          <w:lang w:val="en-US"/>
        </w:rPr>
        <w:t>th</w:t>
      </w:r>
      <w:r>
        <w:rPr>
          <w:rFonts w:eastAsia="SimSun" w:cs="Arial"/>
          <w:bCs/>
          <w:szCs w:val="24"/>
          <w:lang w:val="en-US"/>
        </w:rPr>
        <w:t xml:space="preserve"> -</w:t>
      </w:r>
      <w:r>
        <w:rPr>
          <w:rFonts w:eastAsia="SimSun" w:cs="Arial" w:hint="eastAsia"/>
          <w:bCs/>
          <w:szCs w:val="24"/>
          <w:lang w:val="en-US"/>
        </w:rPr>
        <w:t xml:space="preserve"> 20</w:t>
      </w:r>
      <w:r>
        <w:rPr>
          <w:rFonts w:eastAsia="SimSun" w:cs="Arial" w:hint="eastAsia"/>
          <w:bCs/>
          <w:szCs w:val="24"/>
          <w:vertAlign w:val="superscript"/>
          <w:lang w:val="en-US"/>
        </w:rPr>
        <w:t>t</w:t>
      </w:r>
      <w:r>
        <w:rPr>
          <w:rFonts w:eastAsia="SimSun" w:cs="Arial" w:hint="eastAsia"/>
          <w:bCs/>
          <w:sz w:val="22"/>
          <w:szCs w:val="22"/>
          <w:vertAlign w:val="superscript"/>
          <w:lang w:val="en-US"/>
        </w:rPr>
        <w:t>h</w:t>
      </w:r>
      <w:r>
        <w:rPr>
          <w:szCs w:val="24"/>
          <w:lang w:val="en-US"/>
        </w:rPr>
        <w:t xml:space="preserve"> 202</w:t>
      </w:r>
      <w:r>
        <w:rPr>
          <w:rFonts w:eastAsia="SimSun" w:hint="eastAsia"/>
          <w:szCs w:val="24"/>
          <w:lang w:val="en-US"/>
        </w:rPr>
        <w:t>2</w:t>
      </w:r>
      <w:r>
        <w:tab/>
      </w:r>
    </w:p>
    <w:p w14:paraId="71FBB868" w14:textId="77777777" w:rsidR="007B6EEF" w:rsidRDefault="00903BA5">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6.20.3</w:t>
      </w:r>
    </w:p>
    <w:p w14:paraId="60DE6943" w14:textId="77777777" w:rsidR="007B6EEF" w:rsidRDefault="00903BA5">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4F79165E" w14:textId="18BEA582" w:rsidR="007B6EEF" w:rsidRDefault="00903BA5">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User Plane Issues</w:t>
      </w:r>
      <w:r w:rsidR="00350664">
        <w:rPr>
          <w:rFonts w:eastAsia="SimSun"/>
          <w:sz w:val="22"/>
          <w:szCs w:val="22"/>
          <w:lang w:val="en-US"/>
        </w:rPr>
        <w:t xml:space="preserve"> for NR operation above 71 GHz</w:t>
      </w:r>
    </w:p>
    <w:p w14:paraId="735BE49E" w14:textId="77777777" w:rsidR="007B6EEF" w:rsidRDefault="00903BA5">
      <w:pPr>
        <w:pStyle w:val="3GPPHeader"/>
        <w:rPr>
          <w:sz w:val="22"/>
          <w:szCs w:val="22"/>
        </w:rPr>
      </w:pPr>
      <w:r>
        <w:rPr>
          <w:sz w:val="22"/>
          <w:szCs w:val="22"/>
        </w:rPr>
        <w:t>Document for:</w:t>
      </w:r>
      <w:r>
        <w:rPr>
          <w:sz w:val="22"/>
          <w:szCs w:val="22"/>
        </w:rPr>
        <w:tab/>
        <w:t>Discussion, Decision</w:t>
      </w:r>
    </w:p>
    <w:p w14:paraId="275E84C0" w14:textId="77777777" w:rsidR="007B6EEF" w:rsidRDefault="00903BA5">
      <w:pPr>
        <w:pStyle w:val="Heading1"/>
      </w:pPr>
      <w:r>
        <w:t>Introduction</w:t>
      </w:r>
    </w:p>
    <w:p w14:paraId="70177D42" w14:textId="073DF645" w:rsidR="007B6EEF" w:rsidRDefault="00903BA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RAN2 #117-e [1], </w:t>
      </w:r>
      <w:r w:rsidR="00350664">
        <w:rPr>
          <w:rFonts w:ascii="Times New Roman" w:eastAsia="SimSun" w:hAnsi="Times New Roman"/>
          <w:szCs w:val="24"/>
          <w:lang w:val="en-US"/>
        </w:rPr>
        <w:t>the following</w:t>
      </w:r>
      <w:r>
        <w:rPr>
          <w:rFonts w:ascii="Times New Roman" w:eastAsia="SimSun" w:hAnsi="Times New Roman" w:hint="eastAsia"/>
          <w:szCs w:val="24"/>
          <w:lang w:val="en-US"/>
        </w:rPr>
        <w:t xml:space="preserve"> issues were raised:</w:t>
      </w:r>
    </w:p>
    <w:tbl>
      <w:tblPr>
        <w:tblStyle w:val="TableGrid"/>
        <w:tblW w:w="0" w:type="auto"/>
        <w:tblInd w:w="134" w:type="dxa"/>
        <w:tblLook w:val="04A0" w:firstRow="1" w:lastRow="0" w:firstColumn="1" w:lastColumn="0" w:noHBand="0" w:noVBand="1"/>
      </w:tblPr>
      <w:tblGrid>
        <w:gridCol w:w="9495"/>
      </w:tblGrid>
      <w:tr w:rsidR="007B6EEF" w14:paraId="5490B920" w14:textId="77777777">
        <w:tc>
          <w:tcPr>
            <w:tcW w:w="9721" w:type="dxa"/>
          </w:tcPr>
          <w:p w14:paraId="502D4011" w14:textId="77777777" w:rsidR="007B6EEF" w:rsidRDefault="00903BA5" w:rsidP="000461D4">
            <w:pPr>
              <w:pStyle w:val="Agreement"/>
              <w:numPr>
                <w:ilvl w:val="0"/>
                <w:numId w:val="0"/>
              </w:numPr>
              <w:rPr>
                <w:rFonts w:ascii="Times New Roman" w:hAnsi="Times New Roman"/>
                <w:b w:val="0"/>
                <w:bCs/>
              </w:rPr>
            </w:pPr>
            <w:r>
              <w:rPr>
                <w:rFonts w:ascii="Times New Roman" w:hAnsi="Times New Roman"/>
                <w:b w:val="0"/>
                <w:bCs/>
              </w:rPr>
              <w:t xml:space="preserve">Issue B7: Specification of Contention Exempt Short Control Signaling rules applying to Msg1 and </w:t>
            </w:r>
            <w:proofErr w:type="spellStart"/>
            <w:r>
              <w:rPr>
                <w:rFonts w:ascii="Times New Roman" w:hAnsi="Times New Roman"/>
                <w:b w:val="0"/>
                <w:bCs/>
              </w:rPr>
              <w:t>MsgA</w:t>
            </w:r>
            <w:proofErr w:type="spellEnd"/>
          </w:p>
          <w:p w14:paraId="72FFA603" w14:textId="77777777" w:rsidR="007B6EEF" w:rsidRDefault="00903BA5" w:rsidP="000461D4">
            <w:pPr>
              <w:pStyle w:val="Agreement"/>
              <w:numPr>
                <w:ilvl w:val="0"/>
                <w:numId w:val="0"/>
              </w:numPr>
              <w:rPr>
                <w:rFonts w:ascii="Times New Roman" w:eastAsia="SimSun" w:hAnsi="Times New Roman"/>
                <w:lang w:eastAsia="zh-CN"/>
              </w:rPr>
            </w:pPr>
            <w:r>
              <w:rPr>
                <w:rFonts w:ascii="Times New Roman" w:hAnsi="Times New Roman"/>
                <w:b w:val="0"/>
                <w:bCs/>
              </w:rPr>
              <w:t>Issue B8: Impacts on the guard symbols MAC CE (if FR2-2 is applicable to IAB)</w:t>
            </w:r>
          </w:p>
        </w:tc>
      </w:tr>
    </w:tbl>
    <w:p w14:paraId="4F1ADA2A" w14:textId="77777777" w:rsidR="007B6EEF" w:rsidRDefault="00903BA5">
      <w:pPr>
        <w:spacing w:before="120" w:after="180"/>
        <w:rPr>
          <w:rFonts w:ascii="Times New Roman" w:eastAsia="SimSun" w:hAnsi="Times New Roman"/>
          <w:szCs w:val="24"/>
          <w:lang w:val="en-US"/>
        </w:rPr>
      </w:pPr>
      <w:r>
        <w:rPr>
          <w:rFonts w:ascii="Times New Roman" w:eastAsia="SimSun" w:hAnsi="Times New Roman" w:hint="eastAsia"/>
          <w:szCs w:val="24"/>
          <w:lang w:val="en-US"/>
        </w:rPr>
        <w:t>In this contribution, we will discuss two issues above and provide our views.</w:t>
      </w:r>
    </w:p>
    <w:p w14:paraId="5430596B" w14:textId="77777777" w:rsidR="007B6EEF" w:rsidRDefault="00903BA5">
      <w:pPr>
        <w:pStyle w:val="Heading1"/>
        <w:spacing w:after="240"/>
        <w:ind w:left="431" w:hanging="431"/>
      </w:pPr>
      <w:bookmarkStart w:id="1" w:name="_Ref525834269"/>
      <w:r>
        <w:t>Discussion</w:t>
      </w:r>
      <w:bookmarkStart w:id="2" w:name="_Toc16701630"/>
      <w:bookmarkStart w:id="3" w:name="_Toc19791224"/>
      <w:bookmarkStart w:id="4" w:name="_Toc20486583"/>
      <w:bookmarkEnd w:id="1"/>
      <w:bookmarkEnd w:id="2"/>
    </w:p>
    <w:p w14:paraId="5DE347BE" w14:textId="77777777" w:rsidR="007B6EEF" w:rsidRDefault="00903BA5">
      <w:pPr>
        <w:pStyle w:val="Agreement"/>
        <w:numPr>
          <w:ilvl w:val="0"/>
          <w:numId w:val="0"/>
        </w:numPr>
        <w:rPr>
          <w:rFonts w:ascii="Times New Roman" w:hAnsi="Times New Roman"/>
        </w:rPr>
      </w:pPr>
      <w:r>
        <w:rPr>
          <w:rFonts w:ascii="Times New Roman" w:hAnsi="Times New Roman"/>
        </w:rPr>
        <w:t xml:space="preserve">Issue B7: Specification of Contention Exempt Short Control </w:t>
      </w:r>
      <w:proofErr w:type="spellStart"/>
      <w:r>
        <w:rPr>
          <w:rFonts w:ascii="Times New Roman" w:hAnsi="Times New Roman"/>
        </w:rPr>
        <w:t>Signaling</w:t>
      </w:r>
      <w:proofErr w:type="spellEnd"/>
      <w:r>
        <w:rPr>
          <w:rFonts w:ascii="Times New Roman" w:hAnsi="Times New Roman"/>
        </w:rPr>
        <w:t xml:space="preserve"> rules applying to Msg1 and </w:t>
      </w:r>
      <w:proofErr w:type="spellStart"/>
      <w:r>
        <w:rPr>
          <w:rFonts w:ascii="Times New Roman" w:hAnsi="Times New Roman"/>
        </w:rPr>
        <w:t>MsgA</w:t>
      </w:r>
      <w:proofErr w:type="spellEnd"/>
    </w:p>
    <w:p w14:paraId="7344371C" w14:textId="7EE67D3E" w:rsidR="007B6EEF" w:rsidRDefault="00903BA5">
      <w:pPr>
        <w:spacing w:before="180" w:after="180"/>
        <w:rPr>
          <w:rFonts w:ascii="Times New Roman" w:eastAsia="SimSun" w:hAnsi="Times New Roman"/>
          <w:lang w:val="en-US"/>
        </w:rPr>
      </w:pPr>
      <w:r>
        <w:rPr>
          <w:rFonts w:ascii="Times New Roman" w:hAnsi="Times New Roman" w:hint="eastAsia"/>
          <w:lang w:val="en-US"/>
        </w:rPr>
        <w:t>According to RAN1</w:t>
      </w:r>
      <w:r>
        <w:rPr>
          <w:rFonts w:ascii="Times New Roman" w:hAnsi="Times New Roman"/>
          <w:lang w:val="en-US"/>
        </w:rPr>
        <w:t>’</w:t>
      </w:r>
      <w:r>
        <w:rPr>
          <w:rFonts w:ascii="Times New Roman" w:hAnsi="Times New Roman" w:hint="eastAsia"/>
          <w:lang w:val="en-US"/>
        </w:rPr>
        <w:t xml:space="preserve">s agreement, </w:t>
      </w:r>
      <w:proofErr w:type="spellStart"/>
      <w:r>
        <w:rPr>
          <w:rFonts w:ascii="Times New Roman" w:eastAsia="SimSun" w:hAnsi="Times New Roman" w:hint="eastAsia"/>
          <w:lang w:val="en-US"/>
        </w:rPr>
        <w:t>i</w:t>
      </w:r>
      <w:proofErr w:type="spellEnd"/>
      <w:r>
        <w:rPr>
          <w:rFonts w:ascii="Times New Roman" w:hAnsi="Times New Roman"/>
          <w:lang w:eastAsia="ja-JP"/>
        </w:rPr>
        <w:t xml:space="preserve">n regions where channel sensing is required and short control signalling exemption is allowed by regulations, contention Exempt Short Control </w:t>
      </w:r>
      <w:proofErr w:type="spellStart"/>
      <w:r>
        <w:rPr>
          <w:rFonts w:ascii="Times New Roman" w:hAnsi="Times New Roman"/>
          <w:lang w:eastAsia="ja-JP"/>
        </w:rPr>
        <w:t>Signaling</w:t>
      </w:r>
      <w:proofErr w:type="spellEnd"/>
      <w:r>
        <w:rPr>
          <w:rFonts w:ascii="Times New Roman" w:hAnsi="Times New Roman"/>
          <w:lang w:eastAsia="ja-JP"/>
        </w:rPr>
        <w:t xml:space="preserve"> rules can be applicable to </w:t>
      </w:r>
      <w:r>
        <w:rPr>
          <w:rFonts w:ascii="Times New Roman" w:eastAsia="SimSun" w:hAnsi="Times New Roman" w:hint="eastAsia"/>
          <w:lang w:val="en-US"/>
        </w:rPr>
        <w:t>Msg1 and MSGA.</w:t>
      </w:r>
      <w:r>
        <w:rPr>
          <w:rFonts w:ascii="Times New Roman" w:hAnsi="Times New Roman"/>
          <w:lang w:eastAsia="ja-JP"/>
        </w:rPr>
        <w:t xml:space="preserve"> </w:t>
      </w:r>
      <w:r>
        <w:rPr>
          <w:rFonts w:ascii="Times New Roman" w:eastAsia="SimSun" w:hAnsi="Times New Roman" w:hint="eastAsia"/>
          <w:lang w:val="en-US"/>
        </w:rPr>
        <w:t xml:space="preserve">For this case, </w:t>
      </w:r>
      <w:r w:rsidR="00350664">
        <w:rPr>
          <w:rFonts w:ascii="Times New Roman" w:eastAsia="SimSun" w:hAnsi="Times New Roman"/>
          <w:lang w:val="en-US"/>
        </w:rPr>
        <w:t>it was proposed to specify</w:t>
      </w:r>
      <w:r>
        <w:rPr>
          <w:rFonts w:ascii="Times New Roman" w:eastAsia="SimSun" w:hAnsi="Times New Roman" w:hint="eastAsia"/>
          <w:lang w:val="en-US"/>
        </w:rPr>
        <w:t xml:space="preserve"> some enhancements</w:t>
      </w:r>
      <w:r w:rsidR="00350664">
        <w:rPr>
          <w:rFonts w:ascii="Times New Roman" w:eastAsia="SimSun" w:hAnsi="Times New Roman"/>
          <w:lang w:val="en-US"/>
        </w:rPr>
        <w:t>.</w:t>
      </w:r>
      <w:r>
        <w:rPr>
          <w:rFonts w:ascii="Times New Roman" w:eastAsia="SimSun" w:hAnsi="Times New Roman" w:hint="eastAsia"/>
          <w:lang w:val="en-US"/>
        </w:rPr>
        <w:t xml:space="preserve"> </w:t>
      </w:r>
      <w:r w:rsidR="00350664">
        <w:rPr>
          <w:rFonts w:ascii="Times New Roman" w:eastAsia="SimSun" w:hAnsi="Times New Roman"/>
          <w:lang w:val="en-US"/>
        </w:rPr>
        <w:t>F</w:t>
      </w:r>
      <w:r>
        <w:rPr>
          <w:rFonts w:ascii="Times New Roman" w:eastAsia="SimSun" w:hAnsi="Times New Roman" w:hint="eastAsia"/>
          <w:lang w:val="en-US"/>
        </w:rPr>
        <w:t xml:space="preserve">or example, when Msg1 and MSGA are transmitted as a short control signaling, channel may be busy. In this case, LBT failure </w:t>
      </w:r>
      <w:proofErr w:type="gramStart"/>
      <w:r>
        <w:rPr>
          <w:rFonts w:ascii="Times New Roman" w:eastAsia="SimSun" w:hAnsi="Times New Roman" w:hint="eastAsia"/>
          <w:lang w:val="en-US"/>
        </w:rPr>
        <w:t>detection./</w:t>
      </w:r>
      <w:proofErr w:type="gramEnd"/>
      <w:r>
        <w:rPr>
          <w:rFonts w:ascii="Times New Roman" w:eastAsia="SimSun" w:hAnsi="Times New Roman" w:hint="eastAsia"/>
          <w:lang w:val="en-US"/>
        </w:rPr>
        <w:t>recovery cannot work due to no LBT failure indication</w:t>
      </w:r>
      <w:r w:rsidR="00E024EC">
        <w:rPr>
          <w:rFonts w:ascii="Times New Roman" w:eastAsia="SimSun" w:hAnsi="Times New Roman"/>
          <w:lang w:val="en-US"/>
        </w:rPr>
        <w:t xml:space="preserve"> (since these short control signals are transmitted without LBT)</w:t>
      </w:r>
      <w:r>
        <w:rPr>
          <w:rFonts w:ascii="Times New Roman" w:eastAsia="SimSun" w:hAnsi="Times New Roman" w:hint="eastAsia"/>
          <w:lang w:val="en-US"/>
        </w:rPr>
        <w:t xml:space="preserve">. </w:t>
      </w:r>
      <w:proofErr w:type="gramStart"/>
      <w:r>
        <w:rPr>
          <w:rFonts w:ascii="Times New Roman" w:eastAsia="SimSun" w:hAnsi="Times New Roman" w:hint="eastAsia"/>
          <w:lang w:val="en-US"/>
        </w:rPr>
        <w:t>So</w:t>
      </w:r>
      <w:proofErr w:type="gramEnd"/>
      <w:r>
        <w:rPr>
          <w:rFonts w:ascii="Times New Roman" w:eastAsia="SimSun" w:hAnsi="Times New Roman" w:hint="eastAsia"/>
          <w:lang w:val="en-US"/>
        </w:rPr>
        <w:t xml:space="preserve"> </w:t>
      </w:r>
      <w:r w:rsidR="00350664">
        <w:rPr>
          <w:rFonts w:ascii="Times New Roman" w:eastAsia="SimSun" w:hAnsi="Times New Roman"/>
          <w:lang w:val="en-US"/>
        </w:rPr>
        <w:t>it was proposed that</w:t>
      </w:r>
      <w:r>
        <w:rPr>
          <w:rFonts w:ascii="Times New Roman" w:eastAsia="SimSun" w:hAnsi="Times New Roman" w:hint="eastAsia"/>
          <w:lang w:val="en-US"/>
        </w:rPr>
        <w:t xml:space="preserve"> LBT failure indication should be informed for this case</w:t>
      </w:r>
      <w:r w:rsidR="00E024EC">
        <w:rPr>
          <w:rFonts w:ascii="Times New Roman" w:eastAsia="SimSun" w:hAnsi="Times New Roman"/>
          <w:lang w:val="en-US"/>
        </w:rPr>
        <w:t xml:space="preserve"> even though LBT is not performed</w:t>
      </w:r>
      <w:r>
        <w:rPr>
          <w:rFonts w:ascii="Times New Roman" w:eastAsia="SimSun" w:hAnsi="Times New Roman" w:hint="eastAsia"/>
          <w:lang w:val="en-US"/>
        </w:rPr>
        <w:t>.</w:t>
      </w:r>
    </w:p>
    <w:p w14:paraId="1B032D60" w14:textId="267300AB" w:rsidR="007B6EEF" w:rsidRDefault="00903BA5">
      <w:pPr>
        <w:spacing w:before="180" w:after="180"/>
        <w:rPr>
          <w:rFonts w:ascii="Times New Roman" w:eastAsia="SimSun" w:hAnsi="Times New Roman"/>
          <w:lang w:val="en-US"/>
        </w:rPr>
      </w:pPr>
      <w:r>
        <w:rPr>
          <w:rFonts w:ascii="Times New Roman" w:eastAsia="SimSun" w:hAnsi="Times New Roman" w:hint="eastAsia"/>
          <w:lang w:val="en-US"/>
        </w:rPr>
        <w:t xml:space="preserve">When Msg1 and MSGA are transmitted as a short control signaling, </w:t>
      </w:r>
      <w:r w:rsidR="00E024EC">
        <w:rPr>
          <w:rFonts w:ascii="Times New Roman" w:eastAsia="SimSun" w:hAnsi="Times New Roman"/>
          <w:lang w:val="en-US"/>
        </w:rPr>
        <w:t xml:space="preserve">if </w:t>
      </w:r>
      <w:r>
        <w:rPr>
          <w:rFonts w:ascii="Times New Roman" w:eastAsia="SimSun" w:hAnsi="Times New Roman" w:hint="eastAsia"/>
          <w:lang w:val="en-US"/>
        </w:rPr>
        <w:t xml:space="preserve">LBT failure indication is informed to the </w:t>
      </w:r>
      <w:r w:rsidR="00350664">
        <w:rPr>
          <w:rFonts w:ascii="Times New Roman" w:eastAsia="SimSun" w:hAnsi="Times New Roman" w:hint="eastAsia"/>
          <w:lang w:val="en-US"/>
        </w:rPr>
        <w:t>MA</w:t>
      </w:r>
      <w:r w:rsidR="00350664">
        <w:rPr>
          <w:rFonts w:ascii="Times New Roman" w:eastAsia="SimSun" w:hAnsi="Times New Roman"/>
          <w:lang w:val="en-US"/>
        </w:rPr>
        <w:t>C</w:t>
      </w:r>
      <w:r w:rsidR="00350664">
        <w:rPr>
          <w:rFonts w:ascii="Times New Roman" w:eastAsia="SimSun" w:hAnsi="Times New Roman" w:hint="eastAsia"/>
          <w:lang w:val="en-US"/>
        </w:rPr>
        <w:t xml:space="preserve"> </w:t>
      </w:r>
      <w:r>
        <w:rPr>
          <w:rFonts w:ascii="Times New Roman" w:eastAsia="SimSun" w:hAnsi="Times New Roman" w:hint="eastAsia"/>
          <w:lang w:val="en-US"/>
        </w:rPr>
        <w:t>layer</w:t>
      </w:r>
      <w:r w:rsidR="00E024EC">
        <w:rPr>
          <w:rFonts w:ascii="Times New Roman" w:eastAsia="SimSun" w:hAnsi="Times New Roman"/>
          <w:lang w:val="en-US"/>
        </w:rPr>
        <w:t xml:space="preserve"> even though no LBT is performed in the physical layer</w:t>
      </w:r>
      <w:r>
        <w:rPr>
          <w:rFonts w:ascii="Times New Roman" w:eastAsia="SimSun" w:hAnsi="Times New Roman" w:hint="eastAsia"/>
          <w:lang w:val="en-US"/>
        </w:rPr>
        <w:t xml:space="preserve">, </w:t>
      </w:r>
      <w:r w:rsidR="00E024EC">
        <w:rPr>
          <w:rFonts w:ascii="Times New Roman" w:eastAsia="SimSun" w:hAnsi="Times New Roman"/>
          <w:lang w:val="en-US"/>
        </w:rPr>
        <w:t>there are some significant impacts to MAC. For instance,</w:t>
      </w:r>
      <w:r>
        <w:rPr>
          <w:rFonts w:ascii="Times New Roman" w:eastAsia="SimSun" w:hAnsi="Times New Roman" w:hint="eastAsia"/>
          <w:lang w:val="en-US"/>
        </w:rPr>
        <w:t xml:space="preserve"> power ramping counter </w:t>
      </w:r>
      <w:r w:rsidR="00E024EC">
        <w:rPr>
          <w:rFonts w:ascii="Times New Roman" w:eastAsia="SimSun" w:hAnsi="Times New Roman"/>
          <w:lang w:val="en-US"/>
        </w:rPr>
        <w:t>handling may need to be reconsidered (</w:t>
      </w:r>
      <w:proofErr w:type="gramStart"/>
      <w:r w:rsidR="00E024EC">
        <w:rPr>
          <w:rFonts w:ascii="Times New Roman" w:eastAsia="SimSun" w:hAnsi="Times New Roman"/>
          <w:lang w:val="en-US"/>
        </w:rPr>
        <w:t>i.e.</w:t>
      </w:r>
      <w:proofErr w:type="gramEnd"/>
      <w:r w:rsidR="00E024EC">
        <w:rPr>
          <w:rFonts w:ascii="Times New Roman" w:eastAsia="SimSun" w:hAnsi="Times New Roman"/>
          <w:lang w:val="en-US"/>
        </w:rPr>
        <w:t xml:space="preserve"> </w:t>
      </w:r>
      <w:r>
        <w:rPr>
          <w:rFonts w:ascii="Times New Roman" w:eastAsia="SimSun" w:hAnsi="Times New Roman" w:hint="eastAsia"/>
          <w:lang w:val="en-US"/>
        </w:rPr>
        <w:t xml:space="preserve">should </w:t>
      </w:r>
      <w:r w:rsidR="00E024EC">
        <w:rPr>
          <w:rFonts w:ascii="Times New Roman" w:eastAsia="SimSun" w:hAnsi="Times New Roman"/>
          <w:lang w:val="en-US"/>
        </w:rPr>
        <w:t xml:space="preserve">it </w:t>
      </w:r>
      <w:r>
        <w:rPr>
          <w:rFonts w:ascii="Times New Roman" w:eastAsia="SimSun" w:hAnsi="Times New Roman" w:hint="eastAsia"/>
          <w:lang w:val="en-US"/>
        </w:rPr>
        <w:t>be incremented even if LBT failure indication is received</w:t>
      </w:r>
      <w:r w:rsidR="00E024EC">
        <w:rPr>
          <w:rFonts w:ascii="Times New Roman" w:eastAsia="SimSun" w:hAnsi="Times New Roman"/>
          <w:lang w:val="en-US"/>
        </w:rPr>
        <w:t>?)</w:t>
      </w:r>
      <w:r>
        <w:rPr>
          <w:rFonts w:ascii="Times New Roman" w:eastAsia="SimSun" w:hAnsi="Times New Roman" w:hint="eastAsia"/>
          <w:lang w:val="en-US"/>
        </w:rPr>
        <w:t xml:space="preserve">. </w:t>
      </w:r>
      <w:r w:rsidR="00E024EC">
        <w:rPr>
          <w:rFonts w:ascii="Times New Roman" w:eastAsia="SimSun" w:hAnsi="Times New Roman"/>
          <w:lang w:val="en-US"/>
        </w:rPr>
        <w:t xml:space="preserve">Further, </w:t>
      </w:r>
      <w:r>
        <w:rPr>
          <w:rFonts w:ascii="Times New Roman" w:eastAsia="SimSun" w:hAnsi="Times New Roman" w:hint="eastAsia"/>
          <w:lang w:val="en-US"/>
        </w:rPr>
        <w:t>RAR window should be started to receive Msg2</w:t>
      </w:r>
      <w:r w:rsidR="00E024EC">
        <w:rPr>
          <w:rFonts w:ascii="Times New Roman" w:eastAsia="SimSun" w:hAnsi="Times New Roman"/>
          <w:lang w:val="en-US"/>
        </w:rPr>
        <w:t xml:space="preserve"> (again irrespective of the LBT failure indication from lower layers)</w:t>
      </w:r>
      <w:r>
        <w:rPr>
          <w:rFonts w:ascii="Times New Roman" w:eastAsia="SimSun" w:hAnsi="Times New Roman" w:hint="eastAsia"/>
          <w:lang w:val="en-US"/>
        </w:rPr>
        <w:t xml:space="preserve">. These modifications have a big impact on specification. </w:t>
      </w:r>
    </w:p>
    <w:p w14:paraId="63F08D9F" w14:textId="5CF14670" w:rsidR="007B6EEF" w:rsidRDefault="00E024EC">
      <w:pPr>
        <w:spacing w:before="180" w:after="180"/>
        <w:rPr>
          <w:rFonts w:ascii="Times New Roman" w:hAnsi="Times New Roman"/>
          <w:lang w:val="en-US"/>
        </w:rPr>
      </w:pPr>
      <w:r>
        <w:rPr>
          <w:rFonts w:ascii="Times New Roman" w:eastAsia="SimSun" w:hAnsi="Times New Roman"/>
          <w:lang w:val="en-US"/>
        </w:rPr>
        <w:t>In general, the framework in RAN2 is such that LBT indication is received from lower layers whenever LBT is performed and if there is no LBT indication then it is correct to assume that there is no LBT failure. There is no need to change this framework for short control messages since transmission of such messages can exist even without the operation in higher frequencies anyway</w:t>
      </w:r>
      <w:r w:rsidR="00903BA5">
        <w:rPr>
          <w:rFonts w:ascii="Times New Roman" w:eastAsia="SimSun" w:hAnsi="Times New Roman" w:hint="eastAsia"/>
          <w:lang w:val="en-US"/>
        </w:rPr>
        <w:t>.</w:t>
      </w:r>
      <w:r>
        <w:rPr>
          <w:rFonts w:ascii="Times New Roman" w:eastAsia="SimSun" w:hAnsi="Times New Roman"/>
          <w:lang w:val="en-US"/>
        </w:rPr>
        <w:t xml:space="preserve"> Based on this, we propose the following:</w:t>
      </w:r>
    </w:p>
    <w:p w14:paraId="1E75ED1F" w14:textId="2F2830F9" w:rsidR="007B6EEF" w:rsidRDefault="00903BA5">
      <w:pPr>
        <w:spacing w:before="180" w:after="180"/>
        <w:rPr>
          <w:rFonts w:ascii="Times New Roman" w:hAnsi="Times New Roman"/>
          <w:lang w:val="en-US"/>
        </w:rPr>
      </w:pPr>
      <w:r>
        <w:rPr>
          <w:rFonts w:ascii="Times New Roman" w:hAnsi="Times New Roman" w:hint="eastAsia"/>
          <w:b/>
          <w:bCs/>
          <w:lang w:val="en-US"/>
        </w:rPr>
        <w:t>Proposal 1:</w:t>
      </w:r>
      <w:r>
        <w:rPr>
          <w:rFonts w:ascii="Times New Roman" w:hAnsi="Times New Roman" w:hint="eastAsia"/>
          <w:lang w:val="en-US"/>
        </w:rPr>
        <w:t xml:space="preserve"> </w:t>
      </w:r>
      <w:r w:rsidR="00E024EC">
        <w:rPr>
          <w:rFonts w:ascii="Times New Roman" w:hAnsi="Times New Roman"/>
          <w:lang w:val="en-US"/>
        </w:rPr>
        <w:t xml:space="preserve">No changes are required in MAC to specify the handling of </w:t>
      </w:r>
      <w:r>
        <w:rPr>
          <w:rFonts w:ascii="Times New Roman" w:hAnsi="Times New Roman" w:hint="eastAsia"/>
          <w:i/>
          <w:iCs/>
          <w:lang w:val="en-US"/>
        </w:rPr>
        <w:t>Contention Exempt Short Control Signaling rules applying to Msg1 and MSGA.</w:t>
      </w:r>
    </w:p>
    <w:p w14:paraId="2D16885E" w14:textId="77777777" w:rsidR="007B6EEF" w:rsidRDefault="00903BA5">
      <w:pPr>
        <w:pStyle w:val="Agreement"/>
        <w:numPr>
          <w:ilvl w:val="0"/>
          <w:numId w:val="0"/>
        </w:numPr>
        <w:rPr>
          <w:rFonts w:ascii="Times New Roman" w:hAnsi="Times New Roman"/>
        </w:rPr>
      </w:pPr>
      <w:r>
        <w:rPr>
          <w:rFonts w:ascii="Times New Roman" w:hAnsi="Times New Roman"/>
        </w:rPr>
        <w:t>Issue B8: Impacts on the guard symbols MAC CE (if FR2-2 is applicable to IAB)</w:t>
      </w:r>
    </w:p>
    <w:p w14:paraId="547A4A46" w14:textId="77777777" w:rsidR="007B6EEF" w:rsidRDefault="00903BA5">
      <w:pPr>
        <w:spacing w:before="180" w:after="180"/>
        <w:rPr>
          <w:rFonts w:ascii="Times New Roman" w:hAnsi="Times New Roman"/>
          <w:lang w:val="en-US"/>
        </w:rPr>
      </w:pPr>
      <w:r>
        <w:rPr>
          <w:rFonts w:ascii="Times New Roman" w:hAnsi="Times New Roman" w:hint="eastAsia"/>
          <w:lang w:val="en-US"/>
        </w:rPr>
        <w:t>For IAB, the guard symbols MAC CEs for case 1, case 6 and case 7 are defined. Taking case 1 as an example, guard symbols MAC CE is defined as below in TS 38.213.</w:t>
      </w:r>
    </w:p>
    <w:p w14:paraId="72804E3F" w14:textId="77777777" w:rsidR="007B6EEF" w:rsidRDefault="000461D4">
      <w:pPr>
        <w:pStyle w:val="TH"/>
        <w:rPr>
          <w:lang w:eastAsia="ko-KR"/>
        </w:rPr>
      </w:pPr>
      <w:r>
        <w:lastRenderedPageBreak/>
        <w:pict w14:anchorId="51EB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30.25pt">
            <v:imagedata r:id="rId9" o:title=""/>
          </v:shape>
        </w:pict>
      </w:r>
    </w:p>
    <w:p w14:paraId="3F46B987" w14:textId="77777777" w:rsidR="007B6EEF" w:rsidRDefault="00903BA5">
      <w:pPr>
        <w:pStyle w:val="TF"/>
        <w:rPr>
          <w:rFonts w:ascii="Times New Roman" w:hAnsi="Times New Roman"/>
          <w:lang w:eastAsia="ko-KR"/>
        </w:rPr>
      </w:pPr>
      <w:r>
        <w:rPr>
          <w:rFonts w:ascii="Times New Roman" w:hAnsi="Times New Roman"/>
          <w:lang w:eastAsia="ko-KR"/>
        </w:rPr>
        <w:t>Figure 1: Guard Symbols MAC CEs</w:t>
      </w:r>
    </w:p>
    <w:p w14:paraId="17484697" w14:textId="77777777" w:rsidR="007B6EEF" w:rsidRDefault="00903BA5">
      <w:pPr>
        <w:pStyle w:val="TH"/>
        <w:rPr>
          <w:rFonts w:ascii="Times New Roman" w:hAnsi="Times New Roman"/>
        </w:rPr>
      </w:pPr>
      <w:r>
        <w:rPr>
          <w:rFonts w:ascii="Times New Roman" w:hAnsi="Times New Roman"/>
        </w:rPr>
        <w:t xml:space="preserve">Table </w:t>
      </w:r>
      <w:r>
        <w:rPr>
          <w:rFonts w:ascii="Times New Roman" w:eastAsia="SimSun" w:hAnsi="Times New Roman" w:hint="eastAsia"/>
          <w:lang w:val="en-US"/>
        </w:rPr>
        <w:t>1</w:t>
      </w:r>
      <w:r>
        <w:rPr>
          <w:rFonts w:ascii="Times New Roman" w:hAnsi="Times New Roman"/>
        </w:rPr>
        <w:t>: Subcarrier spacing for Guard Symbols MAC CEs</w:t>
      </w:r>
    </w:p>
    <w:tbl>
      <w:tblPr>
        <w:tblW w:w="0" w:type="auto"/>
        <w:jc w:val="center"/>
        <w:tblLook w:val="04A0" w:firstRow="1" w:lastRow="0" w:firstColumn="1" w:lastColumn="0" w:noHBand="0" w:noVBand="1"/>
      </w:tblPr>
      <w:tblGrid>
        <w:gridCol w:w="2245"/>
        <w:gridCol w:w="2075"/>
      </w:tblGrid>
      <w:tr w:rsidR="007B6EEF" w14:paraId="30777418"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4AC8BA77" w14:textId="77777777" w:rsidR="007B6EEF" w:rsidRDefault="00903BA5">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14:paraId="11A63622" w14:textId="77777777" w:rsidR="007B6EEF" w:rsidRDefault="00903BA5">
            <w:pPr>
              <w:pStyle w:val="TAH"/>
            </w:pPr>
            <w:r>
              <w:t>SCS value</w:t>
            </w:r>
          </w:p>
        </w:tc>
      </w:tr>
      <w:tr w:rsidR="007B6EEF" w14:paraId="00C2D8AC"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1AD89F8" w14:textId="77777777" w:rsidR="007B6EEF" w:rsidRDefault="00903BA5">
            <w:pPr>
              <w:pStyle w:val="TAC"/>
            </w:pPr>
            <w:r>
              <w:t>15kHz</w:t>
            </w:r>
          </w:p>
        </w:tc>
        <w:tc>
          <w:tcPr>
            <w:tcW w:w="2075" w:type="dxa"/>
            <w:tcBorders>
              <w:top w:val="single" w:sz="4" w:space="0" w:color="auto"/>
              <w:left w:val="single" w:sz="4" w:space="0" w:color="auto"/>
              <w:bottom w:val="single" w:sz="4" w:space="0" w:color="auto"/>
              <w:right w:val="single" w:sz="4" w:space="0" w:color="auto"/>
            </w:tcBorders>
          </w:tcPr>
          <w:p w14:paraId="2992D359" w14:textId="77777777" w:rsidR="007B6EEF" w:rsidRDefault="00903BA5">
            <w:pPr>
              <w:pStyle w:val="TAC"/>
            </w:pPr>
            <w:r>
              <w:t>00</w:t>
            </w:r>
          </w:p>
        </w:tc>
      </w:tr>
      <w:tr w:rsidR="007B6EEF" w14:paraId="3D501EFB"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4DFF0212" w14:textId="77777777" w:rsidR="007B6EEF" w:rsidRDefault="00903BA5">
            <w:pPr>
              <w:pStyle w:val="TAC"/>
            </w:pPr>
            <w:r>
              <w:t>30kHz</w:t>
            </w:r>
          </w:p>
        </w:tc>
        <w:tc>
          <w:tcPr>
            <w:tcW w:w="2075" w:type="dxa"/>
            <w:tcBorders>
              <w:top w:val="single" w:sz="4" w:space="0" w:color="auto"/>
              <w:left w:val="single" w:sz="4" w:space="0" w:color="auto"/>
              <w:bottom w:val="single" w:sz="4" w:space="0" w:color="auto"/>
              <w:right w:val="single" w:sz="4" w:space="0" w:color="auto"/>
            </w:tcBorders>
          </w:tcPr>
          <w:p w14:paraId="4AFF403C" w14:textId="77777777" w:rsidR="007B6EEF" w:rsidRDefault="00903BA5">
            <w:pPr>
              <w:pStyle w:val="TAC"/>
            </w:pPr>
            <w:r>
              <w:t>01</w:t>
            </w:r>
          </w:p>
        </w:tc>
      </w:tr>
      <w:tr w:rsidR="007B6EEF" w14:paraId="7DC4BDA7"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45C14D36" w14:textId="77777777" w:rsidR="007B6EEF" w:rsidRDefault="00903BA5">
            <w:pPr>
              <w:pStyle w:val="TAC"/>
            </w:pPr>
            <w:r>
              <w:t>60kHz</w:t>
            </w:r>
          </w:p>
        </w:tc>
        <w:tc>
          <w:tcPr>
            <w:tcW w:w="2075" w:type="dxa"/>
            <w:tcBorders>
              <w:top w:val="single" w:sz="4" w:space="0" w:color="auto"/>
              <w:left w:val="single" w:sz="4" w:space="0" w:color="auto"/>
              <w:bottom w:val="single" w:sz="4" w:space="0" w:color="auto"/>
              <w:right w:val="single" w:sz="4" w:space="0" w:color="auto"/>
            </w:tcBorders>
          </w:tcPr>
          <w:p w14:paraId="23BBFC24" w14:textId="77777777" w:rsidR="007B6EEF" w:rsidRDefault="00903BA5">
            <w:pPr>
              <w:pStyle w:val="TAC"/>
            </w:pPr>
            <w:r>
              <w:t>10</w:t>
            </w:r>
          </w:p>
        </w:tc>
      </w:tr>
      <w:tr w:rsidR="007B6EEF" w14:paraId="057D3640"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FACA1EE" w14:textId="77777777" w:rsidR="007B6EEF" w:rsidRDefault="00903BA5">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14:paraId="1CCD27D1" w14:textId="77777777" w:rsidR="007B6EEF" w:rsidRDefault="00903BA5">
            <w:pPr>
              <w:pStyle w:val="TAC"/>
            </w:pPr>
            <w:r>
              <w:t>11</w:t>
            </w:r>
          </w:p>
        </w:tc>
      </w:tr>
    </w:tbl>
    <w:p w14:paraId="2F96E701" w14:textId="77777777" w:rsidR="007B6EEF" w:rsidRDefault="00903BA5">
      <w:pPr>
        <w:spacing w:before="180" w:after="180"/>
        <w:rPr>
          <w:rFonts w:ascii="Times New Roman" w:hAnsi="Times New Roman"/>
          <w:lang w:val="en-US"/>
        </w:rPr>
      </w:pPr>
      <w:r>
        <w:rPr>
          <w:rFonts w:ascii="Times New Roman" w:hAnsi="Times New Roman" w:hint="eastAsia"/>
          <w:lang w:val="en-US"/>
        </w:rPr>
        <w:t xml:space="preserve">According to the current spec, the node will provide guard symbols for one SCS, and the supported SCSs only includes SCS of FR1 and FR2-1. For FR2-2, since 480kHz and 960kHz SCS are supported, the corresponding guard symbols should </w:t>
      </w:r>
      <w:r>
        <w:rPr>
          <w:rFonts w:ascii="Times New Roman" w:hAnsi="Times New Roman"/>
          <w:lang w:val="en-US"/>
        </w:rPr>
        <w:t xml:space="preserve">also </w:t>
      </w:r>
      <w:r>
        <w:rPr>
          <w:rFonts w:ascii="Times New Roman" w:hAnsi="Times New Roman" w:hint="eastAsia"/>
          <w:lang w:val="en-US"/>
        </w:rPr>
        <w:t xml:space="preserve">be </w:t>
      </w:r>
      <w:r>
        <w:rPr>
          <w:rFonts w:ascii="Times New Roman" w:hAnsi="Times New Roman"/>
          <w:lang w:val="en-US"/>
        </w:rPr>
        <w:t>defined.</w:t>
      </w:r>
    </w:p>
    <w:p w14:paraId="4B28DC37" w14:textId="77777777" w:rsidR="007B6EEF" w:rsidRDefault="00903BA5">
      <w:pPr>
        <w:rPr>
          <w:rFonts w:ascii="Times New Roman" w:hAnsi="Times New Roman"/>
        </w:rPr>
      </w:pPr>
      <w:r>
        <w:rPr>
          <w:rFonts w:ascii="Times New Roman" w:hAnsi="Times New Roman"/>
        </w:rPr>
        <w:t xml:space="preserve">The number of guard symbols is determined from the timing misalignment between MT and DU. Specifically, the number of guard symbols for DU-to-MT switching is </w:t>
      </w:r>
      <m:oMath>
        <m:d>
          <m:dPr>
            <m:begChr m:val="⌈"/>
            <m:endChr m:val="⌉"/>
            <m:ctrlPr>
              <w:rPr>
                <w:rFonts w:ascii="Cambria Math" w:hAnsi="Cambria Math"/>
                <w:i/>
                <w:highlight w:val="cyan"/>
              </w:rPr>
            </m:ctrlPr>
          </m:dPr>
          <m:e>
            <m:sSub>
              <m:sSubPr>
                <m:ctrlPr>
                  <w:rPr>
                    <w:rFonts w:ascii="Cambria Math" w:hAnsi="Cambria Math"/>
                    <w:i/>
                    <w:highlight w:val="cyan"/>
                  </w:rPr>
                </m:ctrlPr>
              </m:sSubPr>
              <m:e>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i</m:t>
                    </m:r>
                  </m:sub>
                </m:sSub>
                <m:r>
                  <w:rPr>
                    <w:rFonts w:ascii="Cambria Math" w:hAnsi="Cambria Math"/>
                    <w:highlight w:val="cyan"/>
                  </w:rPr>
                  <m:t>-T</m:t>
                </m:r>
              </m:e>
              <m:sub>
                <m:r>
                  <w:rPr>
                    <w:rFonts w:ascii="Cambria Math" w:hAnsi="Cambria Math"/>
                    <w:highlight w:val="cyan"/>
                  </w:rPr>
                  <m:t>m</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e>
        </m:d>
      </m:oMath>
      <w:r>
        <w:rPr>
          <w:rFonts w:ascii="Times New Roman" w:hAnsi="Times New Roman"/>
          <w:highlight w:val="cyan"/>
        </w:rPr>
        <w:t xml:space="preserve"> </w:t>
      </w:r>
      <w:r>
        <w:rPr>
          <w:rFonts w:ascii="Times New Roman" w:hAnsi="Times New Roman"/>
        </w:rPr>
        <w:t>and the number of guard symbols for MT-to-DU switching is</w:t>
      </w:r>
      <w:r>
        <w:rPr>
          <w:rFonts w:ascii="Times New Roman" w:hAnsi="Times New Roman"/>
          <w:highlight w:val="cyan"/>
        </w:rPr>
        <w:t xml:space="preserve"> </w:t>
      </w:r>
      <m:oMath>
        <m:d>
          <m:dPr>
            <m:begChr m:val="⌈"/>
            <m:endChr m:val="⌉"/>
            <m:ctrlPr>
              <w:rPr>
                <w:rFonts w:ascii="Cambria Math" w:hAnsi="Cambria Math"/>
                <w:i/>
                <w:highlight w:val="cyan"/>
              </w:rPr>
            </m:ctrlPr>
          </m:dPr>
          <m:e>
            <m:sSub>
              <m:sSubPr>
                <m:ctrlPr>
                  <w:rPr>
                    <w:rFonts w:ascii="Cambria Math" w:hAnsi="Cambria Math"/>
                    <w:i/>
                    <w:highlight w:val="cyan"/>
                  </w:rPr>
                </m:ctrlPr>
              </m:sSubPr>
              <m:e>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i</m:t>
                    </m:r>
                  </m:sub>
                </m:sSub>
                <m:r>
                  <w:rPr>
                    <w:rFonts w:ascii="Cambria Math" w:hAnsi="Cambria Math"/>
                    <w:highlight w:val="cyan"/>
                  </w:rPr>
                  <m:t>+T</m:t>
                </m:r>
              </m:e>
              <m:sub>
                <m:r>
                  <w:rPr>
                    <w:rFonts w:ascii="Cambria Math" w:hAnsi="Cambria Math"/>
                    <w:highlight w:val="cyan"/>
                  </w:rPr>
                  <m:t>m</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e>
        </m:d>
      </m:oMath>
      <w:r>
        <w:rPr>
          <w:rFonts w:ascii="Times New Roman" w:hAnsi="Times New Roman"/>
          <w:lang w:val="en-US"/>
        </w:rPr>
        <w:t>[2]</w:t>
      </w:r>
      <w:r>
        <w:rPr>
          <w:rFonts w:ascii="Times New Roman" w:hAnsi="Times New Roman"/>
        </w:rPr>
        <w:t xml:space="preserve">, </w:t>
      </w:r>
      <w:proofErr w:type="gramStart"/>
      <w:r>
        <w:rPr>
          <w:rFonts w:ascii="Times New Roman" w:hAnsi="Times New Roman"/>
        </w:rPr>
        <w:t>where</w:t>
      </w:r>
      <w:proofErr w:type="gramEnd"/>
    </w:p>
    <w:p w14:paraId="7995156D" w14:textId="77777777" w:rsidR="007B6EEF" w:rsidRDefault="00492C16">
      <w:pPr>
        <w:pStyle w:val="ListParagraph"/>
        <w:numPr>
          <w:ilvl w:val="0"/>
          <w:numId w:val="7"/>
        </w:numPr>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03BA5">
        <w:rPr>
          <w:rFonts w:ascii="Times New Roman" w:hAnsi="Times New Roman"/>
        </w:rPr>
        <w:t xml:space="preserve"> denotes the </w:t>
      </w:r>
      <w:r w:rsidR="00903BA5">
        <w:rPr>
          <w:rFonts w:ascii="Times New Roman" w:hAnsi="Times New Roman"/>
          <w:highlight w:val="cyan"/>
        </w:rPr>
        <w:t>RF switching interval</w:t>
      </w:r>
      <w:r w:rsidR="00903BA5">
        <w:rPr>
          <w:rFonts w:ascii="Times New Roman" w:hAnsi="Times New Roman"/>
        </w:rPr>
        <w:t xml:space="preserve"> between MT and DU</w:t>
      </w:r>
    </w:p>
    <w:p w14:paraId="6763E291" w14:textId="77777777" w:rsidR="007B6EEF" w:rsidRDefault="00492C16">
      <w:pPr>
        <w:pStyle w:val="ListParagraph"/>
        <w:numPr>
          <w:ilvl w:val="0"/>
          <w:numId w:val="7"/>
        </w:numPr>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m</m:t>
            </m:r>
          </m:sub>
        </m:sSub>
      </m:oMath>
      <w:r w:rsidR="00903BA5">
        <w:rPr>
          <w:rFonts w:ascii="Times New Roman" w:hAnsi="Times New Roman"/>
        </w:rPr>
        <w:t xml:space="preserve"> denotes </w:t>
      </w:r>
      <w:r w:rsidR="00903BA5">
        <w:rPr>
          <w:rFonts w:ascii="Times New Roman" w:hAnsi="Times New Roman"/>
          <w:highlight w:val="cyan"/>
        </w:rPr>
        <w:t>the time misalignment</w:t>
      </w:r>
      <w:r w:rsidR="00903BA5">
        <w:rPr>
          <w:rFonts w:ascii="Times New Roman" w:hAnsi="Times New Roman"/>
        </w:rPr>
        <w:t xml:space="preserve">, </w:t>
      </w:r>
      <w:proofErr w:type="gramStart"/>
      <w:r w:rsidR="00903BA5">
        <w:rPr>
          <w:rFonts w:ascii="Times New Roman" w:hAnsi="Times New Roman"/>
        </w:rPr>
        <w:t>i.e.</w:t>
      </w:r>
      <w:proofErr w:type="gramEnd"/>
      <w:r w:rsidR="00903BA5">
        <w:rPr>
          <w:rFonts w:ascii="Times New Roman" w:hAnsi="Times New Roman"/>
        </w:rPr>
        <w:t xml:space="preserve"> frame timing difference, between MT and DU;</w:t>
      </w:r>
    </w:p>
    <w:p w14:paraId="7DF7CB22" w14:textId="77777777" w:rsidR="007B6EEF" w:rsidRDefault="00492C16">
      <w:pPr>
        <w:pStyle w:val="ListParagraph"/>
        <w:numPr>
          <w:ilvl w:val="0"/>
          <w:numId w:val="7"/>
        </w:numPr>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903BA5">
        <w:rPr>
          <w:rFonts w:ascii="Times New Roman" w:hAnsi="Times New Roman"/>
        </w:rPr>
        <w:t xml:space="preserve"> denotes the OFDM symbol duration </w:t>
      </w:r>
    </w:p>
    <w:p w14:paraId="2638DE39" w14:textId="77777777" w:rsidR="007B6EEF" w:rsidRDefault="00903BA5">
      <w:pPr>
        <w:spacing w:before="180" w:after="180"/>
        <w:rPr>
          <w:rFonts w:ascii="Times New Roman" w:eastAsia="SimSun" w:hAnsi="Times New Roman"/>
          <w:lang w:val="en-US"/>
        </w:rPr>
      </w:pPr>
      <w:r>
        <w:rPr>
          <w:rFonts w:ascii="Times New Roman" w:hAnsi="Times New Roman" w:hint="eastAsia"/>
          <w:lang w:val="en-US"/>
        </w:rPr>
        <w:t xml:space="preserve">For </w:t>
      </w:r>
      <m:oMath>
        <m:sSub>
          <m:sSubPr>
            <m:ctrlPr>
              <w:rPr>
                <w:rFonts w:ascii="Cambria Math" w:hAnsi="Cambria Math"/>
                <w:i/>
              </w:rPr>
            </m:ctrlPr>
          </m:sSubPr>
          <m:e>
            <m:r>
              <w:rPr>
                <w:rFonts w:ascii="Cambria Math" w:hAnsi="Cambria Math"/>
              </w:rPr>
              <m:t>T</m:t>
            </m:r>
          </m:e>
          <m:sub>
            <m:r>
              <w:rPr>
                <w:rFonts w:ascii="Cambria Math" w:hAnsi="Cambria Math"/>
              </w:rPr>
              <m:t>m</m:t>
            </m:r>
          </m:sub>
        </m:sSub>
      </m:oMath>
      <w:r>
        <w:rPr>
          <w:rFonts w:ascii="Times New Roman" w:hAnsi="Times New Roman" w:hint="eastAsia"/>
          <w:lang w:val="en-US"/>
        </w:rPr>
        <w:t>, it is related to</w:t>
      </w:r>
      <w:r>
        <w:rPr>
          <w:rFonts w:ascii="Times New Roman" w:hAnsi="Times New Roman"/>
          <w:lang w:val="en-US"/>
        </w:rPr>
        <w:t xml:space="preserve"> </w:t>
      </w:r>
      <w:proofErr w:type="spellStart"/>
      <w:r>
        <w:rPr>
          <w:rFonts w:ascii="Times New Roman" w:hAnsi="Times New Roman"/>
        </w:rPr>
        <w:t>T_delta</w:t>
      </w:r>
      <w:proofErr w:type="spellEnd"/>
      <w:r>
        <w:rPr>
          <w:rFonts w:ascii="Times New Roman" w:eastAsia="SimSun" w:hAnsi="Times New Roman" w:hint="eastAsia"/>
          <w:lang w:val="en-US"/>
        </w:rPr>
        <w:t xml:space="preserve">. In RAN4, </w:t>
      </w:r>
      <w:proofErr w:type="spellStart"/>
      <w:r>
        <w:rPr>
          <w:rFonts w:ascii="Times New Roman" w:hAnsi="Times New Roman"/>
        </w:rPr>
        <w:t>T_delta</w:t>
      </w:r>
      <w:proofErr w:type="spellEnd"/>
      <w:r>
        <w:rPr>
          <w:rFonts w:ascii="Times New Roman" w:eastAsia="SimSun" w:hAnsi="Times New Roman" w:hint="eastAsia"/>
          <w:lang w:val="en-US"/>
        </w:rPr>
        <w:t xml:space="preserve"> is defined as in Table 2. For the different SCS, the different Max </w:t>
      </w:r>
      <w:proofErr w:type="spellStart"/>
      <w:r>
        <w:rPr>
          <w:rFonts w:ascii="Times New Roman" w:eastAsia="SimSun" w:hAnsi="Times New Roman" w:hint="eastAsia"/>
          <w:lang w:val="en-US"/>
        </w:rPr>
        <w:t>T_delta</w:t>
      </w:r>
      <w:proofErr w:type="spellEnd"/>
      <w:r>
        <w:rPr>
          <w:rFonts w:ascii="Times New Roman" w:eastAsia="SimSun" w:hAnsi="Times New Roman" w:hint="eastAsia"/>
          <w:lang w:val="en-US"/>
        </w:rPr>
        <w:t xml:space="preserve"> and Min </w:t>
      </w:r>
      <w:proofErr w:type="spellStart"/>
      <w:r>
        <w:rPr>
          <w:rFonts w:ascii="Times New Roman" w:eastAsia="SimSun" w:hAnsi="Times New Roman" w:hint="eastAsia"/>
          <w:lang w:val="en-US"/>
        </w:rPr>
        <w:t>T_delta</w:t>
      </w:r>
      <w:proofErr w:type="spellEnd"/>
      <w:r>
        <w:rPr>
          <w:rFonts w:ascii="Times New Roman" w:eastAsia="SimSun" w:hAnsi="Times New Roman" w:hint="eastAsia"/>
          <w:lang w:val="en-US"/>
        </w:rPr>
        <w:t xml:space="preserve"> </w:t>
      </w:r>
      <w:proofErr w:type="gramStart"/>
      <w:r>
        <w:rPr>
          <w:rFonts w:ascii="Times New Roman" w:eastAsia="SimSun" w:hAnsi="Times New Roman" w:hint="eastAsia"/>
          <w:lang w:val="en-US"/>
        </w:rPr>
        <w:t>are</w:t>
      </w:r>
      <w:proofErr w:type="gramEnd"/>
      <w:r>
        <w:rPr>
          <w:rFonts w:ascii="Times New Roman" w:eastAsia="SimSun" w:hAnsi="Times New Roman" w:hint="eastAsia"/>
          <w:lang w:val="en-US"/>
        </w:rPr>
        <w:t xml:space="preserve"> defined, so correspondingly Max </w:t>
      </w:r>
      <w:proofErr w:type="spellStart"/>
      <w:r>
        <w:rPr>
          <w:rFonts w:ascii="Times New Roman" w:eastAsia="SimSun" w:hAnsi="Times New Roman" w:hint="eastAsia"/>
          <w:lang w:val="en-US"/>
        </w:rPr>
        <w:t>T_delta</w:t>
      </w:r>
      <w:proofErr w:type="spellEnd"/>
      <w:r>
        <w:rPr>
          <w:rFonts w:ascii="Times New Roman" w:eastAsia="SimSun" w:hAnsi="Times New Roman" w:hint="eastAsia"/>
          <w:lang w:val="en-US"/>
        </w:rPr>
        <w:t xml:space="preserve"> and Min </w:t>
      </w:r>
      <w:proofErr w:type="spellStart"/>
      <w:r>
        <w:rPr>
          <w:rFonts w:ascii="Times New Roman" w:eastAsia="SimSun" w:hAnsi="Times New Roman" w:hint="eastAsia"/>
          <w:lang w:val="en-US"/>
        </w:rPr>
        <w:t>T_delta</w:t>
      </w:r>
      <w:proofErr w:type="spellEnd"/>
      <w:r>
        <w:rPr>
          <w:rFonts w:ascii="Times New Roman" w:eastAsia="SimSun" w:hAnsi="Times New Roman" w:hint="eastAsia"/>
          <w:lang w:val="en-US"/>
        </w:rPr>
        <w:t xml:space="preserve"> for 480kHz and 960kHzs SCS should also be defined.</w:t>
      </w:r>
    </w:p>
    <w:p w14:paraId="6EB208BF" w14:textId="77777777" w:rsidR="007B6EEF" w:rsidRDefault="00903BA5">
      <w:pPr>
        <w:keepNext/>
        <w:jc w:val="center"/>
        <w:rPr>
          <w:rFonts w:ascii="Times New Roman" w:hAnsi="Times New Roman"/>
          <w:b/>
        </w:rPr>
      </w:pPr>
      <w:r>
        <w:rPr>
          <w:rFonts w:ascii="Times New Roman" w:hAnsi="Times New Roman"/>
          <w:b/>
        </w:rPr>
        <w:t xml:space="preserve">Table </w:t>
      </w:r>
      <w:r>
        <w:rPr>
          <w:rFonts w:ascii="Times New Roman" w:eastAsia="SimSun" w:hAnsi="Times New Roman" w:hint="eastAsia"/>
          <w:b/>
          <w:lang w:val="en-US"/>
        </w:rPr>
        <w:t>2</w:t>
      </w:r>
      <w:r>
        <w:rPr>
          <w:rFonts w:ascii="Times New Roman" w:hAnsi="Times New Roman"/>
          <w:b/>
        </w:rPr>
        <w:t xml:space="preserve"> Range of </w:t>
      </w:r>
      <w:proofErr w:type="spellStart"/>
      <w:r>
        <w:rPr>
          <w:rFonts w:ascii="Times New Roman" w:hAnsi="Times New Roman"/>
          <w:b/>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911"/>
        <w:gridCol w:w="1965"/>
      </w:tblGrid>
      <w:tr w:rsidR="007B6EEF" w14:paraId="16E5E213" w14:textId="77777777">
        <w:trPr>
          <w:jc w:val="center"/>
        </w:trPr>
        <w:tc>
          <w:tcPr>
            <w:tcW w:w="0" w:type="auto"/>
            <w:shd w:val="clear" w:color="auto" w:fill="auto"/>
          </w:tcPr>
          <w:p w14:paraId="3F0671A3" w14:textId="77777777" w:rsidR="007B6EEF" w:rsidRDefault="00903BA5">
            <w:pPr>
              <w:rPr>
                <w:rFonts w:ascii="Times New Roman" w:hAnsi="Times New Roman"/>
              </w:rPr>
            </w:pPr>
            <w:r>
              <w:rPr>
                <w:rFonts w:ascii="Times New Roman" w:hAnsi="Times New Roman"/>
              </w:rPr>
              <w:t>SCS [kHz]</w:t>
            </w:r>
          </w:p>
        </w:tc>
        <w:tc>
          <w:tcPr>
            <w:tcW w:w="0" w:type="auto"/>
            <w:shd w:val="clear" w:color="auto" w:fill="auto"/>
          </w:tcPr>
          <w:p w14:paraId="75424391" w14:textId="77777777" w:rsidR="007B6EEF" w:rsidRDefault="00903BA5">
            <w:pPr>
              <w:rPr>
                <w:rFonts w:ascii="Times New Roman" w:hAnsi="Times New Roman"/>
              </w:rPr>
            </w:pPr>
            <w:r>
              <w:rPr>
                <w:rFonts w:ascii="Times New Roman" w:hAnsi="Times New Roman"/>
              </w:rPr>
              <w:t xml:space="preserve">Max </w:t>
            </w:r>
            <w:proofErr w:type="spellStart"/>
            <w:r>
              <w:rPr>
                <w:rFonts w:ascii="Times New Roman" w:hAnsi="Times New Roman"/>
              </w:rPr>
              <w:t>T_delta</w:t>
            </w:r>
            <w:proofErr w:type="spellEnd"/>
            <w:r>
              <w:rPr>
                <w:rFonts w:ascii="Times New Roman" w:hAnsi="Times New Roman"/>
              </w:rPr>
              <w:t xml:space="preserve"> [Tc]</w:t>
            </w:r>
          </w:p>
        </w:tc>
        <w:tc>
          <w:tcPr>
            <w:tcW w:w="0" w:type="auto"/>
            <w:shd w:val="clear" w:color="auto" w:fill="auto"/>
          </w:tcPr>
          <w:p w14:paraId="0A270B37" w14:textId="77777777" w:rsidR="007B6EEF" w:rsidRDefault="00903BA5">
            <w:pPr>
              <w:rPr>
                <w:rFonts w:ascii="Times New Roman" w:hAnsi="Times New Roman"/>
              </w:rPr>
            </w:pPr>
            <w:r>
              <w:rPr>
                <w:rFonts w:ascii="Times New Roman" w:hAnsi="Times New Roman"/>
              </w:rPr>
              <w:t xml:space="preserve">Min </w:t>
            </w:r>
            <w:proofErr w:type="spellStart"/>
            <w:r>
              <w:rPr>
                <w:rFonts w:ascii="Times New Roman" w:hAnsi="Times New Roman"/>
              </w:rPr>
              <w:t>T_delta</w:t>
            </w:r>
            <w:proofErr w:type="spellEnd"/>
            <w:r>
              <w:rPr>
                <w:rFonts w:ascii="Times New Roman" w:hAnsi="Times New Roman"/>
              </w:rPr>
              <w:t xml:space="preserve"> [Tc]</w:t>
            </w:r>
          </w:p>
        </w:tc>
      </w:tr>
      <w:tr w:rsidR="007B6EEF" w14:paraId="1E4B2A5F" w14:textId="77777777">
        <w:trPr>
          <w:jc w:val="center"/>
        </w:trPr>
        <w:tc>
          <w:tcPr>
            <w:tcW w:w="0" w:type="auto"/>
            <w:shd w:val="clear" w:color="auto" w:fill="auto"/>
          </w:tcPr>
          <w:p w14:paraId="0C1EA303" w14:textId="77777777" w:rsidR="007B6EEF" w:rsidRDefault="00903BA5">
            <w:pPr>
              <w:rPr>
                <w:rFonts w:ascii="Times New Roman" w:hAnsi="Times New Roman"/>
              </w:rPr>
            </w:pPr>
            <w:r>
              <w:rPr>
                <w:rFonts w:ascii="Times New Roman" w:hAnsi="Times New Roman"/>
              </w:rPr>
              <w:t>15</w:t>
            </w:r>
          </w:p>
        </w:tc>
        <w:tc>
          <w:tcPr>
            <w:tcW w:w="0" w:type="auto"/>
            <w:shd w:val="clear" w:color="auto" w:fill="auto"/>
            <w:vAlign w:val="bottom"/>
          </w:tcPr>
          <w:p w14:paraId="0E604EBC" w14:textId="77777777" w:rsidR="007B6EEF" w:rsidRDefault="00903BA5">
            <w:pPr>
              <w:rPr>
                <w:rFonts w:ascii="Times New Roman" w:hAnsi="Times New Roman"/>
                <w:color w:val="000000"/>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54F6A386" wp14:editId="14EC1F4D">
                  <wp:extent cx="497840" cy="189865"/>
                  <wp:effectExtent l="0" t="0" r="1651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 </w:t>
            </w:r>
            <w:r>
              <w:rPr>
                <w:rFonts w:ascii="Times New Roman" w:hAnsi="Times New Roman"/>
              </w:rPr>
              <w:t>6256</w:t>
            </w:r>
          </w:p>
        </w:tc>
        <w:tc>
          <w:tcPr>
            <w:tcW w:w="0" w:type="auto"/>
            <w:shd w:val="clear" w:color="auto" w:fill="auto"/>
          </w:tcPr>
          <w:p w14:paraId="1FB92EF5"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41799BB9" wp14:editId="7157DE5F">
                  <wp:extent cx="497840" cy="189865"/>
                  <wp:effectExtent l="0" t="0" r="1651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w:t>
            </w:r>
            <w:r>
              <w:rPr>
                <w:rFonts w:ascii="Times New Roman" w:hAnsi="Times New Roman"/>
              </w:rPr>
              <w:t>- 70528</w:t>
            </w:r>
          </w:p>
        </w:tc>
      </w:tr>
      <w:tr w:rsidR="007B6EEF" w14:paraId="558A5CD2" w14:textId="77777777">
        <w:trPr>
          <w:jc w:val="center"/>
        </w:trPr>
        <w:tc>
          <w:tcPr>
            <w:tcW w:w="0" w:type="auto"/>
            <w:shd w:val="clear" w:color="auto" w:fill="auto"/>
          </w:tcPr>
          <w:p w14:paraId="44A54F49" w14:textId="77777777" w:rsidR="007B6EEF" w:rsidRDefault="00903BA5">
            <w:pPr>
              <w:rPr>
                <w:rFonts w:ascii="Times New Roman" w:hAnsi="Times New Roman"/>
              </w:rPr>
            </w:pPr>
            <w:r>
              <w:rPr>
                <w:rFonts w:ascii="Times New Roman" w:hAnsi="Times New Roman"/>
              </w:rPr>
              <w:t>30</w:t>
            </w:r>
          </w:p>
        </w:tc>
        <w:tc>
          <w:tcPr>
            <w:tcW w:w="0" w:type="auto"/>
            <w:shd w:val="clear" w:color="auto" w:fill="auto"/>
            <w:vAlign w:val="bottom"/>
          </w:tcPr>
          <w:p w14:paraId="14DF7605"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52FADE5E" wp14:editId="7D319FBA">
                  <wp:extent cx="497840" cy="189865"/>
                  <wp:effectExtent l="0" t="0" r="1651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 </w:t>
            </w:r>
            <w:r>
              <w:rPr>
                <w:rFonts w:ascii="Times New Roman" w:hAnsi="Times New Roman"/>
              </w:rPr>
              <w:t xml:space="preserve">6128 </w:t>
            </w:r>
          </w:p>
        </w:tc>
        <w:tc>
          <w:tcPr>
            <w:tcW w:w="0" w:type="auto"/>
            <w:shd w:val="clear" w:color="auto" w:fill="auto"/>
          </w:tcPr>
          <w:p w14:paraId="5BBF50C4"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73C98BC4" wp14:editId="1603DF4F">
                  <wp:extent cx="497840" cy="189865"/>
                  <wp:effectExtent l="0" t="0" r="1651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w:t>
            </w:r>
            <w:r>
              <w:rPr>
                <w:rFonts w:ascii="Times New Roman" w:hAnsi="Times New Roman"/>
              </w:rPr>
              <w:t>- 35328</w:t>
            </w:r>
          </w:p>
        </w:tc>
      </w:tr>
      <w:tr w:rsidR="007B6EEF" w14:paraId="1E5B7718" w14:textId="77777777">
        <w:trPr>
          <w:jc w:val="center"/>
        </w:trPr>
        <w:tc>
          <w:tcPr>
            <w:tcW w:w="0" w:type="auto"/>
            <w:shd w:val="clear" w:color="auto" w:fill="auto"/>
          </w:tcPr>
          <w:p w14:paraId="3817DA87" w14:textId="77777777" w:rsidR="007B6EEF" w:rsidRDefault="00903BA5">
            <w:pPr>
              <w:rPr>
                <w:rFonts w:ascii="Times New Roman" w:hAnsi="Times New Roman"/>
              </w:rPr>
            </w:pPr>
            <w:r>
              <w:rPr>
                <w:rFonts w:ascii="Times New Roman" w:hAnsi="Times New Roman"/>
              </w:rPr>
              <w:t>60</w:t>
            </w:r>
          </w:p>
        </w:tc>
        <w:tc>
          <w:tcPr>
            <w:tcW w:w="0" w:type="auto"/>
            <w:shd w:val="clear" w:color="auto" w:fill="auto"/>
            <w:vAlign w:val="bottom"/>
          </w:tcPr>
          <w:p w14:paraId="062738A6"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2D9A8BFA" wp14:editId="1CF8CB17">
                  <wp:extent cx="497840" cy="189865"/>
                  <wp:effectExtent l="0" t="0" r="1651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 </w:t>
            </w:r>
            <w:r>
              <w:rPr>
                <w:rFonts w:ascii="Times New Roman" w:hAnsi="Times New Roman"/>
              </w:rPr>
              <w:t>6032</w:t>
            </w:r>
          </w:p>
        </w:tc>
        <w:tc>
          <w:tcPr>
            <w:tcW w:w="0" w:type="auto"/>
            <w:shd w:val="clear" w:color="auto" w:fill="auto"/>
          </w:tcPr>
          <w:p w14:paraId="29B4F659"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0F93FFF5" wp14:editId="3BCF223C">
                  <wp:extent cx="497840" cy="189865"/>
                  <wp:effectExtent l="0" t="0" r="1651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w:t>
            </w:r>
            <w:r>
              <w:rPr>
                <w:rFonts w:ascii="Times New Roman" w:hAnsi="Times New Roman"/>
              </w:rPr>
              <w:t>- 17664</w:t>
            </w:r>
          </w:p>
        </w:tc>
      </w:tr>
      <w:tr w:rsidR="007B6EEF" w14:paraId="4143F6F8" w14:textId="77777777">
        <w:trPr>
          <w:jc w:val="center"/>
        </w:trPr>
        <w:tc>
          <w:tcPr>
            <w:tcW w:w="0" w:type="auto"/>
            <w:shd w:val="clear" w:color="auto" w:fill="auto"/>
          </w:tcPr>
          <w:p w14:paraId="35F4A77D" w14:textId="77777777" w:rsidR="007B6EEF" w:rsidRDefault="00903BA5">
            <w:pPr>
              <w:rPr>
                <w:rFonts w:ascii="Times New Roman" w:hAnsi="Times New Roman"/>
              </w:rPr>
            </w:pPr>
            <w:r>
              <w:rPr>
                <w:rFonts w:ascii="Times New Roman" w:hAnsi="Times New Roman"/>
              </w:rPr>
              <w:t>120</w:t>
            </w:r>
          </w:p>
        </w:tc>
        <w:tc>
          <w:tcPr>
            <w:tcW w:w="0" w:type="auto"/>
            <w:shd w:val="clear" w:color="auto" w:fill="auto"/>
            <w:vAlign w:val="bottom"/>
          </w:tcPr>
          <w:p w14:paraId="05CA431A"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14613589" wp14:editId="704F8529">
                  <wp:extent cx="497840" cy="189865"/>
                  <wp:effectExtent l="0" t="0" r="1651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 </w:t>
            </w:r>
            <w:r>
              <w:rPr>
                <w:rFonts w:ascii="Times New Roman" w:hAnsi="Times New Roman"/>
              </w:rPr>
              <w:t>6032</w:t>
            </w:r>
          </w:p>
        </w:tc>
        <w:tc>
          <w:tcPr>
            <w:tcW w:w="0" w:type="auto"/>
            <w:shd w:val="clear" w:color="auto" w:fill="auto"/>
          </w:tcPr>
          <w:p w14:paraId="3B7CE402" w14:textId="77777777" w:rsidR="007B6EEF" w:rsidRDefault="00903BA5">
            <w:pPr>
              <w:rPr>
                <w:rFonts w:ascii="Times New Roman" w:hAnsi="Times New Roman"/>
              </w:rPr>
            </w:pPr>
            <w:r>
              <w:rPr>
                <w:rFonts w:ascii="Times New Roman" w:hAnsi="Times New Roman"/>
                <w:color w:val="000000"/>
              </w:rPr>
              <w:t>-</w:t>
            </w:r>
            <w:r>
              <w:rPr>
                <w:rFonts w:ascii="Times New Roman" w:hAnsi="Times New Roman"/>
                <w:lang w:val="sv-SE"/>
              </w:rPr>
              <w:t xml:space="preserve"> </w:t>
            </w:r>
            <w:r>
              <w:rPr>
                <w:rFonts w:ascii="Times New Roman" w:hAnsi="Times New Roman"/>
                <w:b/>
                <w:noProof/>
                <w:position w:val="-10"/>
                <w:lang w:eastAsia="en-GB"/>
              </w:rPr>
              <w:drawing>
                <wp:inline distT="0" distB="0" distL="0" distR="0" wp14:anchorId="35B45F2B" wp14:editId="63B3D667">
                  <wp:extent cx="497840" cy="189865"/>
                  <wp:effectExtent l="0" t="0" r="1651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hAnsi="Times New Roman"/>
                <w:lang w:val="sv-SE"/>
              </w:rPr>
              <w:t xml:space="preserve">/2 </w:t>
            </w:r>
            <w:r>
              <w:rPr>
                <w:rFonts w:ascii="Times New Roman" w:hAnsi="Times New Roman"/>
              </w:rPr>
              <w:t>- 8816</w:t>
            </w:r>
          </w:p>
        </w:tc>
      </w:tr>
    </w:tbl>
    <w:p w14:paraId="6766648E" w14:textId="77777777" w:rsidR="007B6EEF" w:rsidRDefault="00903BA5">
      <w:pPr>
        <w:spacing w:before="180" w:after="180"/>
      </w:pPr>
      <w:r>
        <w:rPr>
          <w:rFonts w:ascii="Times New Roman" w:eastAsia="SimSun" w:hAnsi="Times New Roman" w:hint="eastAsia"/>
          <w:lang w:val="en-US"/>
        </w:rPr>
        <w:t xml:space="preserve">In addition, for </w:t>
      </w:r>
      <w:r>
        <w:rPr>
          <w:rFonts w:ascii="Times New Roman" w:hAnsi="Times New Roman"/>
          <w:b/>
          <w:noProof/>
          <w:position w:val="-10"/>
          <w:lang w:eastAsia="en-GB"/>
        </w:rPr>
        <w:drawing>
          <wp:inline distT="0" distB="0" distL="0" distR="0" wp14:anchorId="053508D6" wp14:editId="5EA09DEE">
            <wp:extent cx="497840" cy="189865"/>
            <wp:effectExtent l="0" t="0" r="1651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840" cy="189865"/>
                    </a:xfrm>
                    <a:prstGeom prst="rect">
                      <a:avLst/>
                    </a:prstGeom>
                    <a:noFill/>
                    <a:ln>
                      <a:noFill/>
                    </a:ln>
                  </pic:spPr>
                </pic:pic>
              </a:graphicData>
            </a:graphic>
          </wp:inline>
        </w:drawing>
      </w:r>
      <w:r>
        <w:rPr>
          <w:rFonts w:ascii="Times New Roman" w:eastAsia="SimSun" w:hAnsi="Times New Roman" w:hint="eastAsia"/>
          <w:lang w:val="en-US"/>
        </w:rPr>
        <w:t>in table 1[3], the default value is defined as in Table 3. For FR2-2, whether the different value from FR2-1 may be used needs to be evaluated by RAN4.</w:t>
      </w:r>
    </w:p>
    <w:p w14:paraId="5E2C7AF8" w14:textId="77777777" w:rsidR="007B6EEF" w:rsidRDefault="00903BA5">
      <w:pPr>
        <w:pStyle w:val="TH"/>
        <w:rPr>
          <w:rFonts w:ascii="Times New Roman" w:hAnsi="Times New Roman"/>
        </w:rPr>
      </w:pPr>
      <w:r>
        <w:rPr>
          <w:rFonts w:ascii="Times New Roman" w:hAnsi="Times New Roman"/>
        </w:rPr>
        <w:lastRenderedPageBreak/>
        <w:t xml:space="preserve">Table </w:t>
      </w:r>
      <w:r>
        <w:rPr>
          <w:rFonts w:ascii="Times New Roman" w:eastAsia="SimSun" w:hAnsi="Times New Roman" w:hint="eastAsia"/>
          <w:lang w:val="en-US"/>
        </w:rPr>
        <w:t>3</w:t>
      </w:r>
      <w:r>
        <w:rPr>
          <w:rFonts w:ascii="Times New Roman" w:hAnsi="Times New Roman"/>
        </w:rPr>
        <w:t xml:space="preserve">: The Value of </w:t>
      </w:r>
      <w:r>
        <w:rPr>
          <w:rFonts w:ascii="Times New Roman" w:hAnsi="Times New Roman"/>
          <w:noProof/>
          <w:position w:val="-10"/>
          <w:lang w:val="en-US"/>
        </w:rPr>
        <w:drawing>
          <wp:inline distT="0" distB="0" distL="0" distR="0" wp14:anchorId="52D7A966" wp14:editId="368A8426">
            <wp:extent cx="494665" cy="187960"/>
            <wp:effectExtent l="0" t="0" r="635" b="190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7B6EEF" w14:paraId="41AEDDCF" w14:textId="77777777">
        <w:trPr>
          <w:cantSplit/>
          <w:jc w:val="center"/>
        </w:trPr>
        <w:tc>
          <w:tcPr>
            <w:tcW w:w="3286" w:type="pct"/>
          </w:tcPr>
          <w:p w14:paraId="6B765EB2" w14:textId="77777777" w:rsidR="007B6EEF" w:rsidRDefault="00903BA5">
            <w:pPr>
              <w:pStyle w:val="TAH"/>
              <w:rPr>
                <w:rFonts w:ascii="Times New Roman" w:hAnsi="Times New Roman"/>
                <w:lang w:eastAsia="zh-CN"/>
              </w:rPr>
            </w:pPr>
            <w:r>
              <w:rPr>
                <w:rFonts w:ascii="Times New Roman" w:hAnsi="Times New Roman"/>
              </w:rPr>
              <w:t>Frequency range and band of cell used for uplink transmission</w:t>
            </w:r>
          </w:p>
        </w:tc>
        <w:tc>
          <w:tcPr>
            <w:tcW w:w="1714" w:type="pct"/>
          </w:tcPr>
          <w:p w14:paraId="371BD45E" w14:textId="77777777" w:rsidR="007B6EEF" w:rsidRDefault="00903BA5">
            <w:pPr>
              <w:pStyle w:val="TAH"/>
              <w:rPr>
                <w:rFonts w:ascii="Times New Roman" w:hAnsi="Times New Roman"/>
              </w:rPr>
            </w:pPr>
            <w:r>
              <w:rPr>
                <w:rFonts w:ascii="Times New Roman" w:hAnsi="Times New Roman"/>
                <w:noProof/>
                <w:position w:val="-10"/>
                <w:lang w:val="en-US" w:eastAsia="zh-CN"/>
              </w:rPr>
              <w:drawing>
                <wp:inline distT="0" distB="0" distL="0" distR="0" wp14:anchorId="7AFC7454" wp14:editId="4207A224">
                  <wp:extent cx="494665" cy="187960"/>
                  <wp:effectExtent l="0" t="0" r="63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Times New Roman" w:hAnsi="Times New Roman"/>
              </w:rPr>
              <w:t>(Unit: T</w:t>
            </w:r>
            <w:r>
              <w:rPr>
                <w:rFonts w:ascii="Times New Roman" w:hAnsi="Times New Roman"/>
                <w:vertAlign w:val="subscript"/>
              </w:rPr>
              <w:t>C</w:t>
            </w:r>
            <w:r>
              <w:rPr>
                <w:rFonts w:ascii="Times New Roman" w:hAnsi="Times New Roman"/>
              </w:rPr>
              <w:t>)</w:t>
            </w:r>
          </w:p>
        </w:tc>
      </w:tr>
      <w:tr w:rsidR="007B6EEF" w14:paraId="727FEB98" w14:textId="77777777">
        <w:trPr>
          <w:cantSplit/>
          <w:jc w:val="center"/>
        </w:trPr>
        <w:tc>
          <w:tcPr>
            <w:tcW w:w="3286" w:type="pct"/>
          </w:tcPr>
          <w:p w14:paraId="6C8028DC" w14:textId="77777777" w:rsidR="007B6EEF" w:rsidRDefault="00903BA5">
            <w:pPr>
              <w:pStyle w:val="TAL"/>
              <w:rPr>
                <w:rFonts w:ascii="Times New Roman" w:eastAsia="MS Mincho" w:hAnsi="Times New Roman"/>
                <w:highlight w:val="yellow"/>
                <w:lang w:eastAsia="ja-JP"/>
              </w:rPr>
            </w:pPr>
            <w:r>
              <w:rPr>
                <w:rFonts w:ascii="Times New Roman" w:hAnsi="Times New Roman"/>
                <w:highlight w:val="yellow"/>
              </w:rPr>
              <w:t>FR1 FDD or TDD band with neither E-UTRA–NR nor NB-IoT–NR coexistence cas</w:t>
            </w:r>
            <w:r>
              <w:rPr>
                <w:rFonts w:ascii="Times New Roman" w:eastAsia="MS Mincho" w:hAnsi="Times New Roman"/>
                <w:highlight w:val="yellow"/>
                <w:lang w:eastAsia="ja-JP"/>
              </w:rPr>
              <w:t xml:space="preserve">e </w:t>
            </w:r>
          </w:p>
        </w:tc>
        <w:tc>
          <w:tcPr>
            <w:tcW w:w="1714" w:type="pct"/>
          </w:tcPr>
          <w:p w14:paraId="0BAC77E3" w14:textId="77777777" w:rsidR="007B6EEF" w:rsidRDefault="00903BA5">
            <w:pPr>
              <w:pStyle w:val="TAL"/>
              <w:rPr>
                <w:rFonts w:ascii="Times New Roman" w:eastAsia="MS Mincho" w:hAnsi="Times New Roman"/>
                <w:highlight w:val="yellow"/>
                <w:lang w:eastAsia="ja-JP"/>
              </w:rPr>
            </w:pPr>
            <w:r>
              <w:rPr>
                <w:rFonts w:ascii="Times New Roman" w:hAnsi="Times New Roman"/>
                <w:highlight w:val="yellow"/>
                <w:lang w:eastAsia="ja-JP"/>
              </w:rPr>
              <w:t>2560</w:t>
            </w:r>
            <w:r>
              <w:rPr>
                <w:rFonts w:ascii="Times New Roman" w:hAnsi="Times New Roman"/>
                <w:highlight w:val="yellow"/>
              </w:rPr>
              <w:t>0</w:t>
            </w:r>
            <w:r>
              <w:rPr>
                <w:rFonts w:ascii="Times New Roman" w:eastAsia="MS Mincho" w:hAnsi="Times New Roman"/>
                <w:highlight w:val="yellow"/>
                <w:lang w:eastAsia="ja-JP"/>
              </w:rPr>
              <w:t xml:space="preserve"> (Note 1)</w:t>
            </w:r>
          </w:p>
        </w:tc>
      </w:tr>
      <w:tr w:rsidR="007B6EEF" w14:paraId="4DE58E70" w14:textId="77777777">
        <w:trPr>
          <w:cantSplit/>
          <w:jc w:val="center"/>
        </w:trPr>
        <w:tc>
          <w:tcPr>
            <w:tcW w:w="3286" w:type="pct"/>
          </w:tcPr>
          <w:p w14:paraId="307E25E6" w14:textId="77777777" w:rsidR="007B6EEF" w:rsidRDefault="00903BA5">
            <w:pPr>
              <w:pStyle w:val="TAL"/>
              <w:rPr>
                <w:rFonts w:ascii="Times New Roman" w:hAnsi="Times New Roman"/>
              </w:rPr>
            </w:pPr>
            <w:r>
              <w:rPr>
                <w:rFonts w:ascii="Times New Roman" w:hAnsi="Times New Roman"/>
              </w:rPr>
              <w:t xml:space="preserve">FR1 FDD band with E-UTRA–NR and/or NB-IoT–NR coexistence case </w:t>
            </w:r>
          </w:p>
        </w:tc>
        <w:tc>
          <w:tcPr>
            <w:tcW w:w="1714" w:type="pct"/>
          </w:tcPr>
          <w:p w14:paraId="7280AFCF" w14:textId="77777777" w:rsidR="007B6EEF" w:rsidRDefault="00903BA5">
            <w:pPr>
              <w:pStyle w:val="TAL"/>
              <w:rPr>
                <w:rFonts w:ascii="Times New Roman" w:eastAsia="MS Mincho" w:hAnsi="Times New Roman"/>
                <w:lang w:eastAsia="ja-JP"/>
              </w:rPr>
            </w:pPr>
            <w:r>
              <w:rPr>
                <w:rFonts w:ascii="Times New Roman" w:hAnsi="Times New Roman"/>
              </w:rPr>
              <w:t>0</w:t>
            </w:r>
            <w:r>
              <w:rPr>
                <w:rFonts w:ascii="Times New Roman" w:eastAsia="MS Mincho" w:hAnsi="Times New Roman"/>
                <w:lang w:eastAsia="ja-JP"/>
              </w:rPr>
              <w:t xml:space="preserve"> </w:t>
            </w:r>
            <w:r>
              <w:rPr>
                <w:rFonts w:ascii="Times New Roman" w:hAnsi="Times New Roman"/>
              </w:rPr>
              <w:t>(Note 1)</w:t>
            </w:r>
          </w:p>
        </w:tc>
      </w:tr>
      <w:tr w:rsidR="007B6EEF" w14:paraId="5185D693" w14:textId="77777777">
        <w:trPr>
          <w:cantSplit/>
          <w:jc w:val="center"/>
        </w:trPr>
        <w:tc>
          <w:tcPr>
            <w:tcW w:w="3286" w:type="pct"/>
          </w:tcPr>
          <w:p w14:paraId="7A962A70" w14:textId="77777777" w:rsidR="007B6EEF" w:rsidRDefault="00903BA5">
            <w:pPr>
              <w:pStyle w:val="TAL"/>
              <w:rPr>
                <w:rFonts w:ascii="Times New Roman" w:eastAsia="MS Mincho" w:hAnsi="Times New Roman"/>
                <w:lang w:eastAsia="ja-JP"/>
              </w:rPr>
            </w:pPr>
            <w:r>
              <w:rPr>
                <w:rFonts w:ascii="Times New Roman" w:hAnsi="Times New Roman"/>
              </w:rPr>
              <w:t>FR1 TDD band</w:t>
            </w:r>
            <w:r>
              <w:rPr>
                <w:rFonts w:ascii="Times New Roman" w:eastAsia="MS Mincho" w:hAnsi="Times New Roman"/>
                <w:lang w:eastAsia="ja-JP"/>
              </w:rPr>
              <w:t xml:space="preserve"> </w:t>
            </w:r>
            <w:r>
              <w:rPr>
                <w:rFonts w:ascii="Times New Roman" w:hAnsi="Times New Roman"/>
              </w:rPr>
              <w:t>with E-UTRA–NR and/or NB-IoT–NR coexistence case</w:t>
            </w:r>
          </w:p>
        </w:tc>
        <w:tc>
          <w:tcPr>
            <w:tcW w:w="1714" w:type="pct"/>
          </w:tcPr>
          <w:p w14:paraId="6DE6FD07" w14:textId="77777777" w:rsidR="007B6EEF" w:rsidRDefault="00903BA5">
            <w:pPr>
              <w:pStyle w:val="TAL"/>
              <w:rPr>
                <w:rFonts w:ascii="Times New Roman" w:hAnsi="Times New Roman"/>
              </w:rPr>
            </w:pPr>
            <w:r>
              <w:rPr>
                <w:rFonts w:ascii="Times New Roman" w:hAnsi="Times New Roman"/>
              </w:rPr>
              <w:t>39936 (Note 1)</w:t>
            </w:r>
          </w:p>
        </w:tc>
      </w:tr>
      <w:tr w:rsidR="007B6EEF" w14:paraId="287955DF" w14:textId="77777777">
        <w:trPr>
          <w:cantSplit/>
          <w:jc w:val="center"/>
        </w:trPr>
        <w:tc>
          <w:tcPr>
            <w:tcW w:w="3286" w:type="pct"/>
          </w:tcPr>
          <w:p w14:paraId="1685A7F0" w14:textId="77777777" w:rsidR="007B6EEF" w:rsidRDefault="00903BA5">
            <w:pPr>
              <w:pStyle w:val="TAL"/>
              <w:rPr>
                <w:rFonts w:ascii="Times New Roman" w:hAnsi="Times New Roman"/>
                <w:highlight w:val="yellow"/>
              </w:rPr>
            </w:pPr>
            <w:r>
              <w:rPr>
                <w:rFonts w:ascii="Times New Roman" w:hAnsi="Times New Roman"/>
                <w:highlight w:val="yellow"/>
              </w:rPr>
              <w:t>FR2</w:t>
            </w:r>
          </w:p>
        </w:tc>
        <w:tc>
          <w:tcPr>
            <w:tcW w:w="1714" w:type="pct"/>
          </w:tcPr>
          <w:p w14:paraId="20885032" w14:textId="77777777" w:rsidR="007B6EEF" w:rsidRDefault="00903BA5">
            <w:pPr>
              <w:pStyle w:val="TAL"/>
              <w:rPr>
                <w:rFonts w:ascii="Times New Roman" w:hAnsi="Times New Roman"/>
                <w:highlight w:val="yellow"/>
              </w:rPr>
            </w:pPr>
            <w:r>
              <w:rPr>
                <w:rFonts w:ascii="Times New Roman" w:hAnsi="Times New Roman"/>
                <w:highlight w:val="yellow"/>
              </w:rPr>
              <w:t>13792</w:t>
            </w:r>
          </w:p>
        </w:tc>
      </w:tr>
      <w:tr w:rsidR="007B6EEF" w14:paraId="207C3A8D" w14:textId="77777777">
        <w:trPr>
          <w:cantSplit/>
          <w:jc w:val="center"/>
        </w:trPr>
        <w:tc>
          <w:tcPr>
            <w:tcW w:w="5000" w:type="pct"/>
            <w:gridSpan w:val="2"/>
          </w:tcPr>
          <w:p w14:paraId="51E01F55" w14:textId="77777777" w:rsidR="007B6EEF" w:rsidRDefault="00903BA5">
            <w:pPr>
              <w:pStyle w:val="TAN"/>
              <w:rPr>
                <w:rFonts w:ascii="Times New Roman" w:hAnsi="Times New Roman"/>
              </w:rPr>
            </w:pPr>
            <w:r>
              <w:rPr>
                <w:rFonts w:ascii="Times New Roman" w:hAnsi="Times New Roman"/>
              </w:rPr>
              <w:t>Note 1:</w:t>
            </w:r>
            <w:r>
              <w:rPr>
                <w:rFonts w:ascii="Times New Roman" w:hAnsi="Times New Roman"/>
              </w:rPr>
              <w:tab/>
              <w:t xml:space="preserve">The UE identifies </w:t>
            </w:r>
            <w:r>
              <w:rPr>
                <w:rFonts w:ascii="Times New Roman" w:hAnsi="Times New Roman"/>
                <w:b/>
                <w:noProof/>
                <w:position w:val="-10"/>
                <w:lang w:val="en-US"/>
              </w:rPr>
              <w:drawing>
                <wp:inline distT="0" distB="0" distL="0" distR="0" wp14:anchorId="39E42103" wp14:editId="7FD33312">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Times New Roman" w:hAnsi="Times New Roman"/>
              </w:rPr>
              <w:t xml:space="preserve"> based on the information n-TimingAdvanceOffset as specified in TS 38.331 [2]. If UE is not provided with the information n-TimingAdvanceOffset, the default value of </w:t>
            </w:r>
            <w:r>
              <w:rPr>
                <w:rFonts w:ascii="Times New Roman" w:hAnsi="Times New Roman"/>
                <w:b/>
                <w:noProof/>
                <w:position w:val="-10"/>
                <w:lang w:val="en-US"/>
              </w:rPr>
              <w:drawing>
                <wp:inline distT="0" distB="0" distL="0" distR="0" wp14:anchorId="645B4893" wp14:editId="1CFC262B">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Times New Roman" w:hAnsi="Times New Roman"/>
              </w:rPr>
              <w:t xml:space="preserve"> is set as </w:t>
            </w:r>
            <w:r>
              <w:rPr>
                <w:rFonts w:ascii="Times New Roman" w:hAnsi="Times New Roman"/>
                <w:lang w:eastAsia="ja-JP"/>
              </w:rPr>
              <w:t>2560</w:t>
            </w:r>
            <w:r>
              <w:rPr>
                <w:rFonts w:ascii="Times New Roman" w:hAnsi="Times New Roman"/>
              </w:rPr>
              <w:t xml:space="preserve">0 for FR1 band. In case of multiple UL carriers in the same TAG, UE expects that the same value of n-TimingAdvanceOffset is provided for all the UL carriers according to clause 4.2 in TS 38.213 [3] and the value 39936 of </w:t>
            </w:r>
            <w:r>
              <w:rPr>
                <w:rFonts w:ascii="Times New Roman" w:hAnsi="Times New Roman"/>
                <w:b/>
                <w:noProof/>
                <w:position w:val="-10"/>
                <w:lang w:val="en-US"/>
              </w:rPr>
              <w:drawing>
                <wp:inline distT="0" distB="0" distL="0" distR="0" wp14:anchorId="1050EF47" wp14:editId="0BF83E5A">
                  <wp:extent cx="494665" cy="187960"/>
                  <wp:effectExtent l="0" t="0" r="635"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Times New Roman" w:hAnsi="Times New Roman"/>
              </w:rPr>
              <w:t xml:space="preserve"> can also be provided for </w:t>
            </w:r>
            <w:r>
              <w:rPr>
                <w:rFonts w:ascii="Times New Roman" w:eastAsia="DengXian" w:hAnsi="Times New Roman"/>
              </w:rPr>
              <w:t>a FDD serving cell</w:t>
            </w:r>
            <w:r>
              <w:rPr>
                <w:rFonts w:ascii="Times New Roman" w:hAnsi="Times New Roman"/>
              </w:rPr>
              <w:t>.</w:t>
            </w:r>
          </w:p>
          <w:p w14:paraId="1E1ED91F" w14:textId="77777777" w:rsidR="007B6EEF" w:rsidRDefault="00903BA5">
            <w:pPr>
              <w:pStyle w:val="TAN"/>
              <w:rPr>
                <w:rFonts w:ascii="Times New Roman" w:hAnsi="Times New Roman"/>
              </w:rPr>
            </w:pPr>
            <w:r>
              <w:rPr>
                <w:rFonts w:ascii="Times New Roman" w:hAnsi="Times New Roman"/>
              </w:rPr>
              <w:t>Note 2:</w:t>
            </w:r>
            <w:r>
              <w:rPr>
                <w:rFonts w:ascii="Times New Roman" w:hAnsi="Times New Roman"/>
              </w:rPr>
              <w:tab/>
              <w:t>Void</w:t>
            </w:r>
          </w:p>
        </w:tc>
      </w:tr>
    </w:tbl>
    <w:p w14:paraId="58DF0737" w14:textId="77777777" w:rsidR="007B6EEF" w:rsidRDefault="00903BA5">
      <w:pPr>
        <w:spacing w:before="180" w:after="180"/>
        <w:rPr>
          <w:rFonts w:ascii="Times New Roman" w:hAnsi="Times New Roman"/>
          <w:lang w:val="en-US"/>
        </w:rPr>
      </w:pPr>
      <w:r>
        <w:rPr>
          <w:rFonts w:ascii="Times New Roman" w:hAnsi="Times New Roman" w:hint="eastAsia"/>
          <w:lang w:val="en-US"/>
        </w:rPr>
        <w:t>Therefore, based on the analysis above, if guard symbols for SCS of 480kHz and960kHz are defined, some evaluations are needed in RAN1 and RAN4. We prefer to send LS to RAN1 and RAN4 to determine the guard symbols for SCS of 480kHz and 960kHz. Once guard symbols are defined, RAN2 will consider the new format of indicating guard symbols.</w:t>
      </w:r>
    </w:p>
    <w:p w14:paraId="7F24BA91" w14:textId="77777777" w:rsidR="007B6EEF" w:rsidRDefault="00903BA5">
      <w:pPr>
        <w:spacing w:after="180"/>
        <w:rPr>
          <w:rFonts w:ascii="Times New Roman" w:hAnsi="Times New Roman"/>
          <w:i/>
          <w:iCs/>
          <w:lang w:val="en-US"/>
        </w:rPr>
      </w:pPr>
      <w:r>
        <w:rPr>
          <w:rFonts w:ascii="Times New Roman" w:hAnsi="Times New Roman" w:hint="eastAsia"/>
          <w:b/>
          <w:bCs/>
          <w:lang w:val="en-US"/>
        </w:rPr>
        <w:t xml:space="preserve">Proposal 2: </w:t>
      </w:r>
      <w:r>
        <w:rPr>
          <w:rFonts w:ascii="Times New Roman" w:hAnsi="Times New Roman" w:hint="eastAsia"/>
          <w:i/>
          <w:iCs/>
          <w:lang w:val="en-US"/>
        </w:rPr>
        <w:t>In order to define guard symbols for SCS of 480kHz and 960kHz, LS should be sent to RAN1 and RAN4 to determine them.</w:t>
      </w:r>
    </w:p>
    <w:bookmarkEnd w:id="3"/>
    <w:bookmarkEnd w:id="4"/>
    <w:p w14:paraId="3F165AF7" w14:textId="77777777" w:rsidR="007B6EEF" w:rsidRDefault="00903BA5">
      <w:pPr>
        <w:pStyle w:val="Heading1"/>
      </w:pPr>
      <w:r>
        <w:t>Conclusion</w:t>
      </w:r>
    </w:p>
    <w:p w14:paraId="57AC8D2C" w14:textId="77777777" w:rsidR="007B6EEF" w:rsidRDefault="00903BA5">
      <w:pPr>
        <w:pStyle w:val="TOC1"/>
        <w:spacing w:before="180" w:after="180"/>
        <w:ind w:left="0" w:firstLine="0"/>
        <w:jc w:val="both"/>
        <w:rPr>
          <w:rFonts w:ascii="Times New Roman" w:hAnsi="Times New Roman"/>
          <w:b w:val="0"/>
          <w:szCs w:val="20"/>
          <w:lang w:val="en-GB"/>
        </w:rPr>
      </w:pPr>
      <w:bookmarkStart w:id="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5"/>
    </w:p>
    <w:p w14:paraId="1AA03F3F" w14:textId="77777777" w:rsidR="00E024EC" w:rsidRDefault="00E024EC" w:rsidP="00E024EC">
      <w:pPr>
        <w:spacing w:before="180" w:after="180"/>
        <w:rPr>
          <w:rFonts w:ascii="Times New Roman" w:hAnsi="Times New Roman"/>
          <w:lang w:val="en-US"/>
        </w:rPr>
      </w:pPr>
      <w:r>
        <w:rPr>
          <w:rFonts w:ascii="Times New Roman" w:hAnsi="Times New Roman" w:hint="eastAsia"/>
          <w:b/>
          <w:bCs/>
          <w:lang w:val="en-US"/>
        </w:rPr>
        <w:t>Proposal 1:</w:t>
      </w:r>
      <w:r>
        <w:rPr>
          <w:rFonts w:ascii="Times New Roman" w:hAnsi="Times New Roman" w:hint="eastAsia"/>
          <w:lang w:val="en-US"/>
        </w:rPr>
        <w:t xml:space="preserve"> </w:t>
      </w:r>
      <w:r>
        <w:rPr>
          <w:rFonts w:ascii="Times New Roman" w:hAnsi="Times New Roman"/>
          <w:lang w:val="en-US"/>
        </w:rPr>
        <w:t xml:space="preserve">No changes are required in MAC to specify the handling of </w:t>
      </w:r>
      <w:r>
        <w:rPr>
          <w:rFonts w:ascii="Times New Roman" w:hAnsi="Times New Roman" w:hint="eastAsia"/>
          <w:i/>
          <w:iCs/>
          <w:lang w:val="en-US"/>
        </w:rPr>
        <w:t>Contention Exempt Short Control Signaling rules applying to Msg1 and MSGA.</w:t>
      </w:r>
    </w:p>
    <w:p w14:paraId="4170D401" w14:textId="77777777" w:rsidR="007B6EEF" w:rsidRDefault="00903BA5">
      <w:pPr>
        <w:spacing w:after="180"/>
        <w:rPr>
          <w:rFonts w:ascii="Times New Roman" w:hAnsi="Times New Roman"/>
          <w:i/>
          <w:iCs/>
          <w:lang w:val="en-US"/>
        </w:rPr>
      </w:pPr>
      <w:r>
        <w:rPr>
          <w:rFonts w:ascii="Times New Roman" w:hAnsi="Times New Roman" w:hint="eastAsia"/>
          <w:b/>
          <w:bCs/>
          <w:lang w:val="en-US"/>
        </w:rPr>
        <w:t xml:space="preserve">Proposal 2: </w:t>
      </w:r>
      <w:r>
        <w:rPr>
          <w:rFonts w:ascii="Times New Roman" w:hAnsi="Times New Roman" w:hint="eastAsia"/>
          <w:i/>
          <w:iCs/>
          <w:lang w:val="en-US"/>
        </w:rPr>
        <w:t>In order to define guard symbols for SCS of 480kHz and 960kHz, LS should be sent to RAN1 and RAN4 to determine them.</w:t>
      </w:r>
    </w:p>
    <w:p w14:paraId="208212F7" w14:textId="77777777" w:rsidR="007B6EEF" w:rsidRDefault="00903BA5">
      <w:pPr>
        <w:pStyle w:val="Heading1"/>
      </w:pPr>
      <w:r>
        <w:t>References</w:t>
      </w:r>
    </w:p>
    <w:p w14:paraId="391E5716" w14:textId="77777777" w:rsidR="007B6EEF" w:rsidRDefault="00903BA5">
      <w:pPr>
        <w:pStyle w:val="Reference"/>
        <w:numPr>
          <w:ilvl w:val="0"/>
          <w:numId w:val="8"/>
        </w:numPr>
        <w:rPr>
          <w:rFonts w:ascii="Times New Roman" w:hAnsi="Times New Roman"/>
          <w:kern w:val="2"/>
        </w:rPr>
      </w:pPr>
      <w:r>
        <w:rPr>
          <w:rFonts w:ascii="Times New Roman" w:hAnsi="Times New Roman"/>
          <w:lang w:val="en-US"/>
        </w:rPr>
        <w:t>Draft_R2-117e_Meeting_Report_v1</w:t>
      </w:r>
      <w:r>
        <w:rPr>
          <w:rFonts w:ascii="Times New Roman" w:hAnsi="Times New Roman" w:hint="eastAsia"/>
          <w:lang w:val="en-US"/>
        </w:rPr>
        <w:t>.</w:t>
      </w:r>
    </w:p>
    <w:p w14:paraId="5BFFBA29" w14:textId="77777777" w:rsidR="007B6EEF" w:rsidRDefault="00903BA5">
      <w:pPr>
        <w:pStyle w:val="Reference"/>
        <w:numPr>
          <w:ilvl w:val="0"/>
          <w:numId w:val="8"/>
        </w:numPr>
        <w:rPr>
          <w:rFonts w:ascii="Times New Roman" w:hAnsi="Times New Roman"/>
          <w:kern w:val="2"/>
        </w:rPr>
      </w:pPr>
      <w:r>
        <w:rPr>
          <w:rFonts w:ascii="Times New Roman" w:hAnsi="Times New Roman"/>
          <w:kern w:val="2"/>
        </w:rPr>
        <w:t>R1-2006403</w:t>
      </w:r>
      <w:r>
        <w:rPr>
          <w:rFonts w:ascii="Times New Roman" w:hAnsi="Times New Roman"/>
          <w:kern w:val="2"/>
          <w:lang w:val="en-US"/>
        </w:rPr>
        <w:t xml:space="preserve"> </w:t>
      </w:r>
      <w:r>
        <w:rPr>
          <w:rFonts w:ascii="Times New Roman" w:hAnsi="Times New Roman"/>
          <w:kern w:val="2"/>
        </w:rPr>
        <w:t>Considerations on enhancement of guard symbols for IAB</w:t>
      </w:r>
      <w:r>
        <w:rPr>
          <w:rFonts w:ascii="Times New Roman" w:hAnsi="Times New Roman"/>
          <w:kern w:val="2"/>
          <w:lang w:val="en-US"/>
        </w:rPr>
        <w:t>, Huawei</w:t>
      </w:r>
      <w:r>
        <w:rPr>
          <w:rFonts w:ascii="Times New Roman" w:hAnsi="Times New Roman" w:hint="eastAsia"/>
          <w:kern w:val="2"/>
          <w:lang w:val="en-US"/>
        </w:rPr>
        <w:t>.</w:t>
      </w:r>
    </w:p>
    <w:p w14:paraId="7C95A88F" w14:textId="77777777" w:rsidR="007B6EEF" w:rsidRDefault="00903BA5">
      <w:pPr>
        <w:pStyle w:val="Reference"/>
        <w:numPr>
          <w:ilvl w:val="0"/>
          <w:numId w:val="8"/>
        </w:numPr>
        <w:rPr>
          <w:rFonts w:ascii="Times New Roman" w:hAnsi="Times New Roman"/>
          <w:lang w:val="en-US"/>
        </w:rPr>
      </w:pPr>
      <w:r>
        <w:rPr>
          <w:rFonts w:ascii="Times New Roman" w:hAnsi="Times New Roman" w:hint="eastAsia"/>
          <w:lang w:val="en-US"/>
        </w:rPr>
        <w:t>TS 38133-h50.</w:t>
      </w:r>
    </w:p>
    <w:p w14:paraId="147064D9" w14:textId="77777777" w:rsidR="007B6EEF" w:rsidRDefault="007B6EEF">
      <w:pPr>
        <w:rPr>
          <w:rFonts w:ascii="Times New Roman" w:hAnsi="Times New Roman"/>
          <w:lang w:val="en-US"/>
        </w:rPr>
      </w:pPr>
    </w:p>
    <w:p w14:paraId="36D985B7" w14:textId="77777777" w:rsidR="007B6EEF" w:rsidRDefault="007B6EEF">
      <w:pPr>
        <w:rPr>
          <w:rFonts w:ascii="Times New Roman" w:hAnsi="Times New Roman"/>
          <w:lang w:val="en-US"/>
        </w:rPr>
      </w:pPr>
    </w:p>
    <w:sectPr w:rsidR="007B6EE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EB3B" w14:textId="77777777" w:rsidR="00492C16" w:rsidRDefault="00492C16">
      <w:pPr>
        <w:spacing w:after="0"/>
      </w:pPr>
      <w:r>
        <w:separator/>
      </w:r>
    </w:p>
  </w:endnote>
  <w:endnote w:type="continuationSeparator" w:id="0">
    <w:p w14:paraId="28C83D2A" w14:textId="77777777" w:rsidR="00492C16" w:rsidRDefault="00492C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3DA7" w14:textId="77777777" w:rsidR="000461D4" w:rsidRDefault="00046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1D42B" w14:textId="77777777" w:rsidR="007B6EEF" w:rsidRDefault="00903BA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DCBA" w14:textId="77777777" w:rsidR="000461D4" w:rsidRDefault="00046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58CF" w14:textId="77777777" w:rsidR="00492C16" w:rsidRDefault="00492C16">
      <w:pPr>
        <w:spacing w:after="0"/>
      </w:pPr>
      <w:r>
        <w:separator/>
      </w:r>
    </w:p>
  </w:footnote>
  <w:footnote w:type="continuationSeparator" w:id="0">
    <w:p w14:paraId="43C56D87" w14:textId="77777777" w:rsidR="00492C16" w:rsidRDefault="00492C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266A" w14:textId="77777777" w:rsidR="000461D4" w:rsidRDefault="00046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E38B" w14:textId="77777777" w:rsidR="000461D4" w:rsidRDefault="00046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1F0A" w14:textId="77777777" w:rsidR="000461D4" w:rsidRDefault="00046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8246085"/>
    <w:multiLevelType w:val="multilevel"/>
    <w:tmpl w:val="4824608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3421"/>
        </w:tabs>
        <w:ind w:left="-3421" w:hanging="360"/>
      </w:pPr>
      <w:rPr>
        <w:rFonts w:ascii="Symbol" w:hAnsi="Symbol" w:hint="default"/>
        <w:b/>
        <w:i w:val="0"/>
        <w:color w:val="auto"/>
        <w:sz w:val="22"/>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1440"/>
        </w:tabs>
        <w:ind w:left="-1440" w:hanging="360"/>
      </w:pPr>
      <w:rPr>
        <w:rFonts w:ascii="Courier New" w:hAnsi="Courier New" w:cs="Courier New" w:hint="default"/>
      </w:rPr>
    </w:lvl>
    <w:lvl w:ilvl="5">
      <w:start w:val="1"/>
      <w:numFmt w:val="bullet"/>
      <w:lvlText w:val=""/>
      <w:lvlJc w:val="left"/>
      <w:pPr>
        <w:tabs>
          <w:tab w:val="left" w:pos="-720"/>
        </w:tabs>
        <w:ind w:left="-720" w:hanging="360"/>
      </w:pPr>
      <w:rPr>
        <w:rFonts w:ascii="Wingdings" w:hAnsi="Wingdings" w:hint="default"/>
      </w:rPr>
    </w:lvl>
    <w:lvl w:ilvl="6">
      <w:start w:val="1"/>
      <w:numFmt w:val="bullet"/>
      <w:lvlText w:val=""/>
      <w:lvlJc w:val="left"/>
      <w:pPr>
        <w:tabs>
          <w:tab w:val="left" w:pos="0"/>
        </w:tabs>
        <w:ind w:left="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1440"/>
        </w:tabs>
        <w:ind w:left="1440" w:hanging="360"/>
      </w:pPr>
      <w:rPr>
        <w:rFonts w:ascii="Wingdings" w:hAnsi="Wingdings" w:hint="default"/>
      </w:rPr>
    </w:lvl>
  </w:abstractNum>
  <w:num w:numId="1" w16cid:durableId="1982148671">
    <w:abstractNumId w:val="1"/>
  </w:num>
  <w:num w:numId="2" w16cid:durableId="1955862849">
    <w:abstractNumId w:val="0"/>
  </w:num>
  <w:num w:numId="3" w16cid:durableId="409742624">
    <w:abstractNumId w:val="4"/>
  </w:num>
  <w:num w:numId="4" w16cid:durableId="1033505569">
    <w:abstractNumId w:val="2"/>
  </w:num>
  <w:num w:numId="5" w16cid:durableId="1579171340">
    <w:abstractNumId w:val="5"/>
  </w:num>
  <w:num w:numId="6" w16cid:durableId="1321226649">
    <w:abstractNumId w:val="6"/>
  </w:num>
  <w:num w:numId="7" w16cid:durableId="1078287754">
    <w:abstractNumId w:val="3"/>
  </w:num>
  <w:num w:numId="8" w16cid:durableId="13703049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spelling="clean"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61D4"/>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64"/>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49E"/>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4A62"/>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F9D"/>
    <w:rsid w:val="004913F2"/>
    <w:rsid w:val="0049233C"/>
    <w:rsid w:val="0049279B"/>
    <w:rsid w:val="00492C16"/>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2B7D"/>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6EE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BA5"/>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2B9"/>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24EC"/>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2866"/>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1F927D2"/>
    <w:rsid w:val="02067892"/>
    <w:rsid w:val="03110F83"/>
    <w:rsid w:val="0362278C"/>
    <w:rsid w:val="037537D8"/>
    <w:rsid w:val="03D20CB1"/>
    <w:rsid w:val="04617641"/>
    <w:rsid w:val="04A77B04"/>
    <w:rsid w:val="062063C8"/>
    <w:rsid w:val="0642409F"/>
    <w:rsid w:val="0741427E"/>
    <w:rsid w:val="09BD35B8"/>
    <w:rsid w:val="0AF94838"/>
    <w:rsid w:val="0B0C776D"/>
    <w:rsid w:val="0B355F20"/>
    <w:rsid w:val="0C6E40C0"/>
    <w:rsid w:val="0D2F0BAE"/>
    <w:rsid w:val="0EA21165"/>
    <w:rsid w:val="110F52E4"/>
    <w:rsid w:val="114016E9"/>
    <w:rsid w:val="116D6268"/>
    <w:rsid w:val="11910986"/>
    <w:rsid w:val="129B312A"/>
    <w:rsid w:val="12D53C4B"/>
    <w:rsid w:val="142E5D28"/>
    <w:rsid w:val="14553CFF"/>
    <w:rsid w:val="16997478"/>
    <w:rsid w:val="169C2774"/>
    <w:rsid w:val="169C6320"/>
    <w:rsid w:val="182D6F0E"/>
    <w:rsid w:val="18464BFF"/>
    <w:rsid w:val="18852256"/>
    <w:rsid w:val="18E83537"/>
    <w:rsid w:val="190B565A"/>
    <w:rsid w:val="19221EA9"/>
    <w:rsid w:val="1B882FB7"/>
    <w:rsid w:val="1BBE231F"/>
    <w:rsid w:val="1C432FC2"/>
    <w:rsid w:val="1C5B0DCE"/>
    <w:rsid w:val="1EE905BA"/>
    <w:rsid w:val="21FB72A2"/>
    <w:rsid w:val="22833D66"/>
    <w:rsid w:val="23A365C3"/>
    <w:rsid w:val="247F37B7"/>
    <w:rsid w:val="24D37339"/>
    <w:rsid w:val="25306B61"/>
    <w:rsid w:val="283D4ABA"/>
    <w:rsid w:val="291215FC"/>
    <w:rsid w:val="297C22E1"/>
    <w:rsid w:val="2ADC3B52"/>
    <w:rsid w:val="2B473C6A"/>
    <w:rsid w:val="2B6A2EEC"/>
    <w:rsid w:val="2C403DC8"/>
    <w:rsid w:val="2DF90FAB"/>
    <w:rsid w:val="2E433585"/>
    <w:rsid w:val="2F463553"/>
    <w:rsid w:val="2FE66436"/>
    <w:rsid w:val="2FF139C9"/>
    <w:rsid w:val="301238AF"/>
    <w:rsid w:val="30555516"/>
    <w:rsid w:val="31200F36"/>
    <w:rsid w:val="315358E6"/>
    <w:rsid w:val="31776829"/>
    <w:rsid w:val="32925811"/>
    <w:rsid w:val="33A95154"/>
    <w:rsid w:val="3463095E"/>
    <w:rsid w:val="353811DC"/>
    <w:rsid w:val="3563683D"/>
    <w:rsid w:val="36BB4DAC"/>
    <w:rsid w:val="380F7405"/>
    <w:rsid w:val="38321C03"/>
    <w:rsid w:val="38630744"/>
    <w:rsid w:val="38A73BC3"/>
    <w:rsid w:val="393521C6"/>
    <w:rsid w:val="3AA76E45"/>
    <w:rsid w:val="3B8C1168"/>
    <w:rsid w:val="3B980C42"/>
    <w:rsid w:val="3C5301BC"/>
    <w:rsid w:val="3D552A9B"/>
    <w:rsid w:val="3DA47BA7"/>
    <w:rsid w:val="3DE036A9"/>
    <w:rsid w:val="3DEC01F9"/>
    <w:rsid w:val="3E637564"/>
    <w:rsid w:val="3ED9007C"/>
    <w:rsid w:val="3F566F9A"/>
    <w:rsid w:val="3F853EF0"/>
    <w:rsid w:val="428D42A2"/>
    <w:rsid w:val="44A833F8"/>
    <w:rsid w:val="45A876E8"/>
    <w:rsid w:val="463533D6"/>
    <w:rsid w:val="491D612E"/>
    <w:rsid w:val="4A0F3DC0"/>
    <w:rsid w:val="4CB712E9"/>
    <w:rsid w:val="4D695C33"/>
    <w:rsid w:val="4DC216B1"/>
    <w:rsid w:val="4ECE38FE"/>
    <w:rsid w:val="510D5458"/>
    <w:rsid w:val="5167643F"/>
    <w:rsid w:val="51F02507"/>
    <w:rsid w:val="51FC4E82"/>
    <w:rsid w:val="53CF6DA3"/>
    <w:rsid w:val="54115ECC"/>
    <w:rsid w:val="54E23DD2"/>
    <w:rsid w:val="550A4C07"/>
    <w:rsid w:val="565F658E"/>
    <w:rsid w:val="58183758"/>
    <w:rsid w:val="5A785070"/>
    <w:rsid w:val="5B0206C5"/>
    <w:rsid w:val="5B170BEE"/>
    <w:rsid w:val="5B207AA3"/>
    <w:rsid w:val="5B232687"/>
    <w:rsid w:val="5BD454E7"/>
    <w:rsid w:val="5D533593"/>
    <w:rsid w:val="5D5A7DD5"/>
    <w:rsid w:val="5D6913D3"/>
    <w:rsid w:val="60DE60CF"/>
    <w:rsid w:val="617B3224"/>
    <w:rsid w:val="6192E85F"/>
    <w:rsid w:val="62014DFF"/>
    <w:rsid w:val="646425A4"/>
    <w:rsid w:val="676752D9"/>
    <w:rsid w:val="6796758A"/>
    <w:rsid w:val="699C710F"/>
    <w:rsid w:val="69AC4326"/>
    <w:rsid w:val="6DAA2AFF"/>
    <w:rsid w:val="6DC62321"/>
    <w:rsid w:val="6EF12C97"/>
    <w:rsid w:val="6F0F02D8"/>
    <w:rsid w:val="6FFD5EAF"/>
    <w:rsid w:val="702B276E"/>
    <w:rsid w:val="717E46FE"/>
    <w:rsid w:val="72222DF0"/>
    <w:rsid w:val="72ED088A"/>
    <w:rsid w:val="745E5144"/>
    <w:rsid w:val="74D87595"/>
    <w:rsid w:val="76435B90"/>
    <w:rsid w:val="787A4196"/>
    <w:rsid w:val="78846709"/>
    <w:rsid w:val="78E468A2"/>
    <w:rsid w:val="796263D2"/>
    <w:rsid w:val="7A150074"/>
    <w:rsid w:val="7B3C3F48"/>
    <w:rsid w:val="7C1C0CAF"/>
    <w:rsid w:val="7D275909"/>
    <w:rsid w:val="7FE822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6690"/>
  <w15:docId w15:val="{213BA54E-C513-4231-949E-8F3D053B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qFormat/>
    <w:pPr>
      <w:widowControl w:val="0"/>
      <w:tabs>
        <w:tab w:val="center" w:pos="4536"/>
        <w:tab w:val="right" w:pos="9072"/>
      </w:tabs>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421"/>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 w:type="paragraph" w:customStyle="1" w:styleId="Comments">
    <w:name w:val="Comments"/>
    <w:basedOn w:val="Normal"/>
    <w:qFormat/>
    <w:rPr>
      <w:i/>
      <w:sz w:val="18"/>
    </w:rPr>
  </w:style>
  <w:style w:type="paragraph" w:customStyle="1" w:styleId="TF">
    <w:name w:val="TF"/>
    <w:basedOn w:val="TH"/>
    <w:qFormat/>
    <w:pPr>
      <w:keepNext w:val="0"/>
      <w:spacing w:before="0" w:after="240"/>
    </w:pPr>
    <w:rPr>
      <w:lang w:val="en-GB" w:eastAsia="ja-JP"/>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42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ZTE(EV)</cp:lastModifiedBy>
  <cp:revision>6</cp:revision>
  <dcterms:created xsi:type="dcterms:W3CDTF">2021-08-05T10:55:00Z</dcterms:created>
  <dcterms:modified xsi:type="dcterms:W3CDTF">2022-04-25T13:35:00Z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